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C67C24" w:rsidP="0087515A" w14:paraId="062840C9" w14:textId="32663150">
      <w:pPr>
        <w:tabs>
          <w:tab w:val="left" w:pos="4100"/>
        </w:tabs>
        <w:rPr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4403430</wp:posOffset>
                </wp:positionH>
                <wp:positionV relativeFrom="page">
                  <wp:align>top</wp:align>
                </wp:positionV>
                <wp:extent cx="3382160" cy="1562100"/>
                <wp:effectExtent l="0" t="0" r="0" b="0"/>
                <wp:wrapSquare wrapText="bothSides"/>
                <wp:docPr id="7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16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E0E" w14:textId="777777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  <w:t xml:space="preserve"> </w:t>
                            </w:r>
                          </w:p>
                          <w:p w:rsidR="00A06E2C" w14:textId="777777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  <w:t xml:space="preserve">  </w:t>
                            </w:r>
                          </w:p>
                          <w:p w:rsidR="00021296" w:rsidRPr="00664DED" w14:textId="288E7D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  <w:t xml:space="preserve">June </w:t>
                            </w:r>
                            <w:r w:rsidR="0064436A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w w:val="11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5" style="width:266.3pt;height:123pt;margin-top:0;margin-left:346.75pt;mso-height-percent:0;mso-height-relative:margin;mso-position-horizontal-relative:page;mso-position-vertical:top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o:allowincell="f" filled="f" fillcolor="#943634" stroked="f">
                <v:textbox inset=",1in,1in,7.2pt">
                  <w:txbxContent>
                    <w:p w:rsidR="000D0E0E" w14:paraId="14BD7494" w14:textId="77777777">
                      <w:pPr>
                        <w:spacing w:after="0"/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  <w:t xml:space="preserve"> </w:t>
                      </w:r>
                    </w:p>
                    <w:p w:rsidR="00A06E2C" w14:paraId="432E07DD" w14:textId="77777777">
                      <w:pPr>
                        <w:spacing w:after="0"/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  <w:t xml:space="preserve">  </w:t>
                      </w:r>
                    </w:p>
                    <w:p w:rsidR="00021296" w:rsidRPr="00664DED" w14:paraId="57F088AB" w14:textId="288E7DF1">
                      <w:pPr>
                        <w:spacing w:after="0"/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  <w:t xml:space="preserve">June </w:t>
                      </w:r>
                      <w:r w:rsidR="0064436A">
                        <w:rPr>
                          <w:rFonts w:ascii="Times New Roman" w:hAnsi="Times New Roman" w:cs="Times New Roman"/>
                          <w:smallCaps/>
                          <w:noProof/>
                          <w:w w:val="110"/>
                        </w:rPr>
                        <w:t>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894715</wp:posOffset>
                </wp:positionV>
                <wp:extent cx="5949950" cy="635"/>
                <wp:effectExtent l="9525" t="8890" r="12700" b="9525"/>
                <wp:wrapNone/>
                <wp:docPr id="6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width:468.5pt;height:0.05pt;margin-top:70.45pt;margin-left:0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  <w:r w:rsidR="00E46D1F">
        <w:rPr>
          <w:sz w:val="23"/>
          <w:szCs w:val="23"/>
        </w:rPr>
        <w:t xml:space="preserve">  </w:t>
      </w:r>
      <w:r w:rsidRPr="002851F9" w:rsidR="001D5360">
        <w:rPr>
          <w:noProof/>
          <w:sz w:val="23"/>
          <w:szCs w:val="23"/>
        </w:rPr>
        <w:drawing>
          <wp:inline distT="0" distB="0" distL="0" distR="0">
            <wp:extent cx="1560576" cy="822960"/>
            <wp:effectExtent l="0" t="0" r="190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601494" name="Picture 2" descr="KS_KDHELogo_Blue-Gold_DHCF_CMY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7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63" w:rsidRPr="00664DED" w:rsidP="0037530E" w14:paraId="514A1232" w14:textId="42BDF986">
      <w:pPr>
        <w:tabs>
          <w:tab w:val="left" w:pos="4100"/>
        </w:tabs>
        <w:ind w:left="2880" w:firstLine="2070"/>
        <w:rPr>
          <w:rFonts w:ascii="Times New Roman" w:hAnsi="Times New Roman" w:cs="Times New Roman"/>
          <w:b/>
          <w:smallCaps/>
          <w:w w:val="11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4054475" cy="7038975"/>
                <wp:effectExtent l="0" t="0" r="3175" b="9525"/>
                <wp:wrapNone/>
                <wp:docPr id="5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A7" w:rsidP="001B3E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52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HCBS Rate Changes for </w:t>
                            </w:r>
                          </w:p>
                          <w:p w:rsidR="001B3EA7" w:rsidRPr="00D452C3" w:rsidP="001B3E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52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Fiscal Year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ED27E6" w:rsidP="00ED27E6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B3EA7" w:rsidRP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Effective with dates of service on and after July 1, 2024, and for the state fiscal year (SFY) 2025, the fees for </w:t>
                            </w:r>
                            <w:r w:rsidRPr="001B3EA7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 xml:space="preserve">Home &amp; Community Based Services (HCBS) and Managed Care Floor rates will increase. </w:t>
                            </w:r>
                          </w:p>
                          <w:p w:rsidR="001B3EA7" w:rsidRP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1B3EA7" w:rsidRP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The updated rates for HCBS reimbursement are listed below:</w:t>
                            </w:r>
                          </w:p>
                          <w:tbl>
                            <w:tblPr>
                              <w:tblW w:w="4760" w:type="dxa"/>
                              <w:jc w:val="center"/>
                              <w:tblLook w:val="04A0"/>
                            </w:tblPr>
                            <w:tblGrid>
                              <w:gridCol w:w="1840"/>
                              <w:gridCol w:w="1240"/>
                              <w:gridCol w:w="1680"/>
                            </w:tblGrid>
                            <w:tr w14:paraId="3F685D23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7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Frail Elderly (FE)</w:t>
                                  </w:r>
                                </w:p>
                              </w:tc>
                            </w:tr>
                            <w:tr w14:paraId="6358F623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2025</w:t>
                                  </w:r>
                                </w:p>
                                <w:p w:rsidR="001B3EA7" w:rsidRPr="001B3EA7" w:rsidP="001B3EA7" w14:textId="66620F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Rate*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Unit Definition</w:t>
                                  </w:r>
                                </w:p>
                              </w:tc>
                            </w:tr>
                            <w:tr w14:paraId="649C8146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51C20E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S5130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$6.83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1AA7A910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1CA1C5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$7.50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1D93EFB2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$8.31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69711813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$4.08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0FAF59CC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63243F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T2040 U2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$162.53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495BC3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  <w:r w:rsidR="00F11A7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onth</w:t>
                                  </w:r>
                                </w:p>
                              </w:tc>
                            </w:tr>
                            <w:tr w14:paraId="2915EAD6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7821642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T2025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$108.50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01084D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6 to 12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hrs</w:t>
                                  </w:r>
                                </w:p>
                              </w:tc>
                            </w:tr>
                            <w:tr w14:paraId="21C7DEF1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14:paraId="730A690C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7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Technology Assisted (TA)</w:t>
                                  </w:r>
                                </w:p>
                              </w:tc>
                            </w:tr>
                            <w:tr w14:paraId="7A33A984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32BEA5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2025</w:t>
                                  </w:r>
                                </w:p>
                                <w:p w:rsidR="001B3EA7" w:rsidRPr="001B3EA7" w:rsidP="001B3EA7" w14:textId="04A496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Rate*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2C55E9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Unit Definition</w:t>
                                  </w:r>
                                </w:p>
                              </w:tc>
                            </w:tr>
                            <w:tr w14:paraId="5C67C759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4D5D0BE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T1000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$12.50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407734E1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40F3E65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T1004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$4.98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338D967A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5BABF2E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T1019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$4.13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2D381DEF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T2040 U2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$155.52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 month</w:t>
                                  </w:r>
                                </w:p>
                              </w:tc>
                            </w:tr>
                            <w:tr w14:paraId="1DA0A62E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14:paraId="150A67BA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7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Intellectual/ Developmental Disabilities (I/DD)</w:t>
                                  </w:r>
                                </w:p>
                              </w:tc>
                            </w:tr>
                            <w:tr w14:paraId="1C46F181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5962BA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2025</w:t>
                                  </w:r>
                                </w:p>
                                <w:p w:rsidR="001B3EA7" w:rsidRPr="001B3EA7" w:rsidP="001B3EA7" w14:textId="205FEA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Rate*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90DA0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Unit Definition</w:t>
                                  </w:r>
                                </w:p>
                              </w:tc>
                            </w:tr>
                            <w:tr w14:paraId="6E51D23E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63C5CB7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T1019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$4.36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4F395699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T1000 TD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$12.50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4CEB2F6E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770B798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T1000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$12.50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55ADDED4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633F4D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$4.96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166D8B83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530BD0E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H2023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$10.00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</w:tbl>
                          <w:p w:rsidR="00021296" w:rsidRPr="001B3EA7" w:rsidP="006C6454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21296" w:rsidRPr="001B3EA7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21296" w:rsidRPr="001B3EA7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21296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21296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21296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21296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21296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21296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D41D2" w:rsidP="008E441C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F32D9" w:rsidP="008D41D2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D41D2" w:rsidRPr="00057D97" w:rsidP="008D41D2" w14:textId="23C13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7D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 the changes resulti</w:t>
                            </w:r>
                            <w:r w:rsidRP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ng from this provider bulletin, view the updated </w:t>
                            </w:r>
                            <w:r w:rsidRPr="001F32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HCBS IDD Fee-for-Service Provider Manual, </w:t>
                            </w:r>
                            <w:r w:rsidRP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Section </w:t>
                            </w:r>
                            <w:r w:rsidRPr="001F32D9" w:rsid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8400</w:t>
                            </w:r>
                            <w:r w:rsidRP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page </w:t>
                            </w:r>
                            <w:r w:rsidRPr="001F32D9" w:rsid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-2</w:t>
                            </w:r>
                            <w:r w:rsidRPr="001F32D9" w:rsid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1F32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4FA1" w14:textId="7777777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width:319.25pt;height:554.25pt;margin-top:20.6pt;margin-left:268.05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 stroked="f">
                <v:textbox>
                  <w:txbxContent>
                    <w:p w:rsidR="001B3EA7" w:rsidP="001B3EA7" w14:paraId="1931273B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52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HCBS Rate Changes for </w:t>
                      </w:r>
                    </w:p>
                    <w:p w:rsidR="001B3EA7" w:rsidRPr="00D452C3" w:rsidP="001B3EA7" w14:paraId="0DBAC041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52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Fiscal Year 202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ED27E6" w:rsidP="00ED27E6" w14:paraId="7C65233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B3EA7" w:rsidRPr="001B3EA7" w:rsidP="001B3EA7" w14:paraId="1AB32247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  <w:r w:rsidRPr="001B3EA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Effective with dates of service on and after July 1, 2024, and for the state fiscal year (SFY) 2025, the fees for </w:t>
                      </w:r>
                      <w:r w:rsidRPr="001B3EA7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 xml:space="preserve">Home &amp; Community Based Services (HCBS) and Managed Care Floor rates will increase. </w:t>
                      </w:r>
                    </w:p>
                    <w:p w:rsidR="001B3EA7" w:rsidRPr="001B3EA7" w:rsidP="001B3EA7" w14:paraId="6536C593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</w:p>
                    <w:p w:rsidR="001B3EA7" w:rsidRPr="001B3EA7" w:rsidP="001B3EA7" w14:paraId="014672B2" w14:textId="7777777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1B3EA7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>The updated rates for HCBS reimbursement are listed below:</w:t>
                      </w:r>
                    </w:p>
                    <w:tbl>
                      <w:tblPr>
                        <w:tblW w:w="4760" w:type="dxa"/>
                        <w:jc w:val="center"/>
                        <w:tblLook w:val="04A0"/>
                      </w:tblPr>
                      <w:tblGrid>
                        <w:gridCol w:w="1840"/>
                        <w:gridCol w:w="1240"/>
                        <w:gridCol w:w="1680"/>
                      </w:tblGrid>
                      <w:tr w14:paraId="3F685D23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47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531A9F9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Frail Elderly (FE)</w:t>
                            </w:r>
                          </w:p>
                        </w:tc>
                      </w:tr>
                      <w:tr w14:paraId="6358F623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21C9CAE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Procedure Code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P="001B3EA7" w14:paraId="5A26641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2025</w:t>
                            </w:r>
                          </w:p>
                          <w:p w:rsidR="001B3EA7" w:rsidRPr="001B3EA7" w:rsidP="001B3EA7" w14:paraId="557ABD50" w14:textId="6662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Rate*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60BD906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Unit Definition</w:t>
                            </w:r>
                          </w:p>
                        </w:tc>
                      </w:tr>
                      <w:tr w14:paraId="649C8146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66E78430" w14:textId="51C20E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S5130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AC71FB8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$6.83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418C07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1AA7A910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631857C8" w14:textId="1CA1C5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7EC8F70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$7.50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947983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1D93EFB2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D0D82E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UA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A64E689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$8.31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BECFC3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69711813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4F5F37D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2EED59B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$4.08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6F85574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0FAF59CC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12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32B58B69" w14:textId="63243F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T2040 U2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9B2144E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$162.53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FC1FA62" w14:textId="495BC3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 </w:t>
                            </w:r>
                            <w:r w:rsidR="00F11A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m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onth</w:t>
                            </w:r>
                          </w:p>
                        </w:tc>
                      </w:tr>
                      <w:tr w14:paraId="2915EAD6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55149291" w14:textId="7821642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T2025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147AC01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$108.50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59E685A" w14:textId="01084D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6 to 12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hrs</w:t>
                            </w:r>
                          </w:p>
                        </w:tc>
                      </w:tr>
                      <w:tr w14:paraId="21C7DEF1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48DED8A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282B42E2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1EB1B05F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14:paraId="730A690C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47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0BC0806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Technology Assisted (TA)</w:t>
                            </w:r>
                          </w:p>
                        </w:tc>
                      </w:tr>
                      <w:tr w14:paraId="7A33A984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716CE0B3" w14:textId="32BEA5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Procedure Code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P="001B3EA7" w14:paraId="1B4A18C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2025</w:t>
                            </w:r>
                          </w:p>
                          <w:p w:rsidR="001B3EA7" w:rsidRPr="001B3EA7" w:rsidP="001B3EA7" w14:paraId="78F5303B" w14:textId="04A49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Rate*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7148355A" w14:textId="2C55E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Unit Definition</w:t>
                            </w:r>
                          </w:p>
                        </w:tc>
                      </w:tr>
                      <w:tr w14:paraId="5C67C759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2AFB157B" w14:textId="4D5D0BE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T1000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D73D224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$12.50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F51B3B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407734E1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14577BB3" w14:textId="40F3E6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T1004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B3137BF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$4.98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A34A3A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338D967A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38347534" w14:textId="5BABF2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T1019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4F812115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$4.13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7DF10A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2D381DEF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9D2A3A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T2040 U2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0DE307E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$155.52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66F702E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 month</w:t>
                            </w:r>
                          </w:p>
                        </w:tc>
                      </w:tr>
                      <w:tr w14:paraId="1DA0A62E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5CE124F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44546BC7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75B78CC7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14:paraId="150A67BA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47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3713FE2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Intellectual/ Developmental Disabilities (I/DD)</w:t>
                            </w:r>
                          </w:p>
                        </w:tc>
                      </w:tr>
                      <w:tr w14:paraId="1C46F181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4B3A1593" w14:textId="5962BA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Procedure Code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P="001B3EA7" w14:paraId="4ED0191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2025</w:t>
                            </w:r>
                          </w:p>
                          <w:p w:rsidR="001B3EA7" w:rsidRPr="001B3EA7" w:rsidP="001B3EA7" w14:paraId="0E5A7B6D" w14:textId="205FE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Rate*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403DC1F7" w14:textId="790DA0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Unit Definition</w:t>
                            </w:r>
                          </w:p>
                        </w:tc>
                      </w:tr>
                      <w:tr w14:paraId="6E51D23E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68ABB45B" w14:textId="63C5CB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T1019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E3306BD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$4.36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69647E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4F395699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3FB867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T1000 TD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3634DE3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$12.50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43AFED8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4CEB2F6E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65BC08A4" w14:textId="770B79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T1000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9A46C58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$12.50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3DD53F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55ADDED4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75875CBC" w14:textId="633F4D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64FD86F7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$4.96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6D2F968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166D8B83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0A4A508C" w14:textId="530BD0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H2023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6000C30E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$10.00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847D2C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</w:tbl>
                    <w:p w:rsidR="00021296" w:rsidRPr="001B3EA7" w:rsidP="006C6454" w14:paraId="77EC4ADB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21296" w:rsidRPr="001B3EA7" w:rsidP="008E441C" w14:paraId="3F00AE37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21296" w:rsidRPr="001B3EA7" w:rsidP="008E441C" w14:paraId="18285B29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21296" w:rsidP="008E441C" w14:paraId="5F3DEBF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1296" w:rsidP="008E441C" w14:paraId="6591514B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1296" w:rsidP="008E441C" w14:paraId="12E894CC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1296" w:rsidP="008E441C" w14:paraId="7FA114D2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1296" w:rsidP="008E441C" w14:paraId="61A8BDC3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1296" w:rsidP="008E441C" w14:paraId="2184DD4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21E7B15F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2F180711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2648555B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3E8942DA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6C01F4DA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07DC8631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601D4A13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14BE4299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41106874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3E7F500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161F59C6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2E9C2391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10D81E01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01144A95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3466464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235C099B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3ACC697E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D41D2" w:rsidP="008E441C" w14:paraId="14B8EC7F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F32D9" w:rsidP="008D41D2" w14:paraId="47B0836E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D41D2" w:rsidRPr="00057D97" w:rsidP="008D41D2" w14:paraId="21F7812D" w14:textId="23C13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7D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 the changes resulti</w:t>
                      </w:r>
                      <w:r w:rsidRP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ng from this provider bulletin, view the updated </w:t>
                      </w:r>
                      <w:r w:rsidRPr="001F32D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HCBS IDD Fee-for-Service Provider Manual, </w:t>
                      </w:r>
                      <w:r w:rsidRP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Section </w:t>
                      </w:r>
                      <w:r w:rsidRPr="001F32D9" w:rsid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8400</w:t>
                      </w:r>
                      <w:r w:rsidRP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page </w:t>
                      </w:r>
                      <w:r w:rsidRPr="001F32D9" w:rsid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-2</w:t>
                      </w:r>
                      <w:r w:rsidRPr="001F32D9" w:rsid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1F32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6F4FA1" w14:paraId="2D95FC79" w14:textId="77777777"/>
                  </w:txbxContent>
                </v:textbox>
                <w10:wrap anchorx="margin"/>
              </v:shape>
            </w:pict>
          </mc:Fallback>
        </mc:AlternateContent>
      </w:r>
      <w:r w:rsidR="00A86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864995" cy="7429500"/>
                <wp:effectExtent l="0" t="0" r="1905" b="0"/>
                <wp:wrapNone/>
                <wp:docPr id="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742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44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KMAP</w:t>
                            </w:r>
                          </w:p>
                          <w:p w:rsidR="00021296" w:rsidP="00ED468B" w14:textId="6C55B7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51169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Kansas Medical Assistance Program</w:t>
                              </w:r>
                            </w:hyperlink>
                          </w:p>
                          <w:p w:rsidR="00021296" w:rsidP="008E441C" w14:textId="0B2F21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8E441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Bulletins</w:t>
                              </w:r>
                            </w:hyperlink>
                          </w:p>
                          <w:p w:rsidR="00021296" w:rsidP="008E441C" w14:textId="6E795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8E441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Manuals</w:t>
                              </w:r>
                            </w:hyperlink>
                          </w:p>
                          <w:p w:rsidR="00021296" w:rsidP="008E441C" w14:textId="408E77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anchor="prvForms" w:history="1">
                              <w:r w:rsidRPr="008E441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Forms</w:t>
                              </w:r>
                            </w:hyperlink>
                          </w:p>
                          <w:p w:rsidR="00021296" w:rsidRPr="00ED468B" w:rsidP="00ED468B" w14:textId="77777777">
                            <w:pPr>
                              <w:pStyle w:val="Notice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1296" w:rsidP="00ED468B" w14:textId="77777777">
                            <w:pPr>
                              <w:pStyle w:val="Notice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4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Customer Service </w:t>
                            </w:r>
                          </w:p>
                          <w:p w:rsidR="00021296" w:rsidP="008E441C" w14:textId="77777777">
                            <w:pPr>
                              <w:pStyle w:val="Notic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1-800-933-6593</w:t>
                            </w:r>
                          </w:p>
                          <w:p w:rsidR="00021296" w:rsidRPr="008E441C" w:rsidP="008E441C" w14:textId="77777777">
                            <w:pPr>
                              <w:pStyle w:val="Notic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7:30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a.m.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5:3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 p.m.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Monday -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Friday</w:t>
                            </w:r>
                          </w:p>
                          <w:p w:rsidR="00021296" w:rsidRPr="00ED468B" w:rsidP="00ED468B" w14:textId="77777777">
                            <w:pPr>
                              <w:pStyle w:val="Notice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width:146.85pt;height:585pt;margin-top:13.1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color="#d8d8d8" stroked="f">
                <v:textbox>
                  <w:txbxContent>
                    <w:p w:rsidR="00021296" w:rsidP="00ED468B" w14:paraId="4E5B30D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21296" w:rsidP="00ED468B" w14:paraId="1B6D7A9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5203CF5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736EF9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1922E4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30070D8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99EA77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68A8B1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3C07DB6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47918F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04C0BDE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142743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D71B41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E16496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80A714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33A84C2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5A7DE66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AFC074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1AF37A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59F7093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5294D0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4C7C314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537A30E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1B2E0CB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6667B2E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490465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5DE82F8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F7454D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CE78D2E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A1FE5B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34BC8CA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406D919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4677A91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79EE9F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6837AC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D0B204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4EE13B4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31ABC83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62CD36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0B5EB3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7E0D283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59CCCF9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145FA8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14A8D8E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2C94B5F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601554C3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2D61B81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18E0693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7430CCB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0F2AD77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79978B7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1296" w:rsidP="00ED468B" w14:paraId="45CE8C1B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44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KMAP</w:t>
                      </w:r>
                    </w:p>
                    <w:p w:rsidR="00021296" w:rsidP="00ED468B" w14:paraId="1FE1B80F" w14:textId="6C55B74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Pr="0051169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Kansas Medical Assistance Program</w:t>
                        </w:r>
                      </w:hyperlink>
                    </w:p>
                    <w:p w:rsidR="00021296" w:rsidP="008E441C" w14:paraId="315EDF88" w14:textId="0B2F21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Pr="008E441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Bulletins</w:t>
                        </w:r>
                      </w:hyperlink>
                    </w:p>
                    <w:p w:rsidR="00021296" w:rsidP="008E441C" w14:paraId="1FB23435" w14:textId="6E795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2" w:history="1">
                        <w:r w:rsidRPr="008E441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Manuals</w:t>
                        </w:r>
                      </w:hyperlink>
                    </w:p>
                    <w:p w:rsidR="00021296" w:rsidP="008E441C" w14:paraId="128999E4" w14:textId="408E77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3" w:anchor="prvForms" w:history="1">
                        <w:r w:rsidRPr="008E441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Forms</w:t>
                        </w:r>
                      </w:hyperlink>
                    </w:p>
                    <w:p w:rsidR="00021296" w:rsidRPr="00ED468B" w:rsidP="00ED468B" w14:paraId="43E181FD" w14:textId="77777777">
                      <w:pPr>
                        <w:pStyle w:val="Notice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1296" w:rsidP="00ED468B" w14:paraId="3D44AFA9" w14:textId="77777777">
                      <w:pPr>
                        <w:pStyle w:val="Notice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46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Customer Service </w:t>
                      </w:r>
                    </w:p>
                    <w:p w:rsidR="00021296" w:rsidP="008E441C" w14:paraId="0F13BDB0" w14:textId="77777777">
                      <w:pPr>
                        <w:pStyle w:val="Notic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1-800-933-6593</w:t>
                      </w:r>
                    </w:p>
                    <w:p w:rsidR="00021296" w:rsidRPr="008E441C" w:rsidP="008E441C" w14:paraId="0360D3DF" w14:textId="77777777">
                      <w:pPr>
                        <w:pStyle w:val="Notic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7:30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a.m.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5:3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 p.m.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Monday -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Friday</w:t>
                      </w:r>
                    </w:p>
                    <w:p w:rsidR="00021296" w:rsidRPr="00ED468B" w:rsidP="00ED468B" w14:paraId="34ACB7B4" w14:textId="77777777">
                      <w:pPr>
                        <w:pStyle w:val="Notice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DED">
        <w:rPr>
          <w:rFonts w:ascii="Times New Roman" w:hAnsi="Times New Roman" w:cs="Times New Roman"/>
          <w:b/>
          <w:smallCaps/>
          <w:w w:val="125"/>
        </w:rPr>
        <w:t xml:space="preserve">            </w:t>
      </w:r>
      <w:r w:rsidR="00D217B8">
        <w:rPr>
          <w:rFonts w:ascii="Times New Roman" w:hAnsi="Times New Roman" w:cs="Times New Roman"/>
          <w:b/>
          <w:smallCaps/>
          <w:w w:val="110"/>
        </w:rPr>
        <w:t xml:space="preserve">KMAP </w:t>
      </w:r>
      <w:r w:rsidR="00CE4E65">
        <w:rPr>
          <w:rFonts w:ascii="Times New Roman" w:hAnsi="Times New Roman" w:cs="Times New Roman"/>
          <w:b/>
          <w:smallCaps/>
          <w:w w:val="110"/>
        </w:rPr>
        <w:t>General</w:t>
      </w:r>
      <w:r w:rsidRPr="00664DED" w:rsidR="002851F9">
        <w:rPr>
          <w:rFonts w:ascii="Times New Roman" w:hAnsi="Times New Roman" w:cs="Times New Roman"/>
          <w:b/>
          <w:smallCaps/>
          <w:w w:val="110"/>
        </w:rPr>
        <w:t xml:space="preserve"> Bulletin</w:t>
      </w:r>
      <w:r w:rsidR="0037530E">
        <w:rPr>
          <w:rFonts w:ascii="Times New Roman" w:hAnsi="Times New Roman" w:cs="Times New Roman"/>
          <w:b/>
          <w:smallCaps/>
          <w:w w:val="110"/>
        </w:rPr>
        <w:t xml:space="preserve"> </w:t>
      </w:r>
      <w:r w:rsidR="00B30A08">
        <w:rPr>
          <w:rFonts w:ascii="Times New Roman" w:hAnsi="Times New Roman" w:cs="Times New Roman"/>
          <w:b/>
          <w:smallCaps/>
          <w:w w:val="110"/>
        </w:rPr>
        <w:t>2</w:t>
      </w:r>
      <w:r w:rsidR="0064436A">
        <w:rPr>
          <w:rFonts w:ascii="Times New Roman" w:hAnsi="Times New Roman" w:cs="Times New Roman"/>
          <w:b/>
          <w:smallCaps/>
          <w:w w:val="110"/>
        </w:rPr>
        <w:t>4</w:t>
      </w:r>
      <w:r>
        <w:rPr>
          <w:rFonts w:ascii="Times New Roman" w:hAnsi="Times New Roman" w:cs="Times New Roman"/>
          <w:b/>
          <w:smallCaps/>
          <w:w w:val="110"/>
        </w:rPr>
        <w:t>116</w:t>
      </w:r>
    </w:p>
    <w:p w:rsidR="00326292" w:rsidP="009125CC" w14:paraId="674C2E06" w14:textId="2FD2BD89">
      <w:pPr>
        <w:rPr>
          <w:rFonts w:ascii="Arial" w:hAnsi="Arial" w:cs="Arial"/>
          <w:b/>
          <w:sz w:val="32"/>
          <w:szCs w:val="32"/>
        </w:rPr>
      </w:pPr>
    </w:p>
    <w:p w:rsidR="00326292" w:rsidP="009125CC" w14:paraId="708E8F44" w14:textId="5E025600">
      <w:pPr>
        <w:rPr>
          <w:rFonts w:ascii="Arial" w:hAnsi="Arial" w:cs="Arial"/>
          <w:b/>
          <w:sz w:val="32"/>
          <w:szCs w:val="32"/>
        </w:rPr>
      </w:pPr>
    </w:p>
    <w:p w:rsidR="00326292" w:rsidP="009125CC" w14:paraId="281B23E8" w14:textId="482C9D1B">
      <w:pPr>
        <w:rPr>
          <w:rFonts w:ascii="Arial" w:hAnsi="Arial" w:cs="Arial"/>
          <w:b/>
          <w:sz w:val="32"/>
          <w:szCs w:val="32"/>
        </w:rPr>
      </w:pPr>
    </w:p>
    <w:p w:rsidR="00326292" w:rsidP="009125CC" w14:paraId="343D4D07" w14:textId="4EEA349B">
      <w:pPr>
        <w:rPr>
          <w:rFonts w:ascii="Arial" w:hAnsi="Arial" w:cs="Arial"/>
          <w:b/>
          <w:sz w:val="32"/>
          <w:szCs w:val="32"/>
        </w:rPr>
      </w:pPr>
    </w:p>
    <w:p w:rsidR="00326292" w:rsidP="009125CC" w14:paraId="2EC0E5E7" w14:textId="77777777">
      <w:pPr>
        <w:rPr>
          <w:rFonts w:ascii="Arial" w:hAnsi="Arial" w:cs="Arial"/>
          <w:b/>
          <w:sz w:val="32"/>
          <w:szCs w:val="32"/>
        </w:rPr>
      </w:pPr>
    </w:p>
    <w:p w:rsidR="00326292" w:rsidP="009125CC" w14:paraId="39409906" w14:textId="6F695F50">
      <w:pPr>
        <w:rPr>
          <w:rFonts w:ascii="Arial" w:hAnsi="Arial" w:cs="Arial"/>
          <w:b/>
          <w:sz w:val="32"/>
          <w:szCs w:val="32"/>
        </w:rPr>
      </w:pPr>
    </w:p>
    <w:p w:rsidR="00326292" w:rsidP="009125CC" w14:paraId="7E3B474E" w14:textId="0BE45335">
      <w:pPr>
        <w:rPr>
          <w:rFonts w:ascii="Arial" w:hAnsi="Arial" w:cs="Arial"/>
          <w:b/>
          <w:sz w:val="32"/>
          <w:szCs w:val="32"/>
        </w:rPr>
      </w:pPr>
    </w:p>
    <w:p w:rsidR="00326292" w:rsidP="009125CC" w14:paraId="432B6A28" w14:textId="649C9C28">
      <w:pPr>
        <w:rPr>
          <w:rFonts w:ascii="Arial" w:hAnsi="Arial" w:cs="Arial"/>
          <w:b/>
          <w:sz w:val="32"/>
          <w:szCs w:val="32"/>
        </w:rPr>
      </w:pPr>
    </w:p>
    <w:p w:rsidR="00326292" w:rsidP="009125CC" w14:paraId="73944CE1" w14:textId="37302B36">
      <w:pPr>
        <w:rPr>
          <w:rFonts w:ascii="Arial" w:hAnsi="Arial" w:cs="Arial"/>
          <w:b/>
          <w:sz w:val="32"/>
          <w:szCs w:val="32"/>
        </w:rPr>
      </w:pPr>
    </w:p>
    <w:p w:rsidR="00326292" w:rsidP="009125CC" w14:paraId="1B565777" w14:textId="218C1099">
      <w:pPr>
        <w:rPr>
          <w:rFonts w:ascii="Arial" w:hAnsi="Arial" w:cs="Arial"/>
          <w:b/>
          <w:sz w:val="32"/>
          <w:szCs w:val="32"/>
        </w:rPr>
      </w:pPr>
    </w:p>
    <w:p w:rsidR="00326292" w:rsidP="009125CC" w14:paraId="5A66304B" w14:textId="32716DFE">
      <w:pPr>
        <w:rPr>
          <w:rFonts w:ascii="Arial" w:hAnsi="Arial" w:cs="Arial"/>
          <w:b/>
          <w:sz w:val="32"/>
          <w:szCs w:val="32"/>
        </w:rPr>
      </w:pPr>
    </w:p>
    <w:p w:rsidR="00326292" w:rsidP="009125CC" w14:paraId="1D5792B4" w14:textId="0EDD34C3">
      <w:pPr>
        <w:rPr>
          <w:rFonts w:ascii="Arial" w:hAnsi="Arial" w:cs="Arial"/>
          <w:b/>
          <w:sz w:val="32"/>
          <w:szCs w:val="32"/>
        </w:rPr>
      </w:pPr>
    </w:p>
    <w:p w:rsidR="00326292" w:rsidP="009125CC" w14:paraId="43A3B49E" w14:textId="290C04C2">
      <w:pPr>
        <w:rPr>
          <w:rFonts w:ascii="Arial" w:hAnsi="Arial" w:cs="Arial"/>
          <w:b/>
          <w:sz w:val="32"/>
          <w:szCs w:val="32"/>
        </w:rPr>
      </w:pPr>
    </w:p>
    <w:p w:rsidR="00326292" w:rsidP="009125CC" w14:paraId="7A54F832" w14:textId="77777777">
      <w:pPr>
        <w:rPr>
          <w:rFonts w:ascii="Arial" w:hAnsi="Arial" w:cs="Arial"/>
          <w:b/>
          <w:sz w:val="32"/>
          <w:szCs w:val="32"/>
        </w:rPr>
      </w:pPr>
    </w:p>
    <w:p w:rsidR="00326292" w:rsidP="009125CC" w14:paraId="28C29E76" w14:textId="77777777">
      <w:pPr>
        <w:rPr>
          <w:rFonts w:ascii="Arial" w:hAnsi="Arial" w:cs="Arial"/>
          <w:b/>
          <w:sz w:val="32"/>
          <w:szCs w:val="32"/>
        </w:rPr>
      </w:pPr>
    </w:p>
    <w:p w:rsidR="00326292" w:rsidP="009125CC" w14:paraId="4D45D7ED" w14:textId="77777777">
      <w:pPr>
        <w:rPr>
          <w:rFonts w:ascii="Arial" w:hAnsi="Arial" w:cs="Arial"/>
          <w:b/>
          <w:sz w:val="32"/>
          <w:szCs w:val="32"/>
        </w:rPr>
      </w:pPr>
    </w:p>
    <w:p w:rsidR="001B3EA7" w:rsidP="009125CC" w14:paraId="475AB600" w14:textId="003E1236">
      <w:pPr>
        <w:rPr>
          <w:rFonts w:ascii="Arial" w:hAnsi="Arial" w:cs="Arial"/>
          <w:b/>
          <w:sz w:val="32"/>
          <w:szCs w:val="32"/>
        </w:rPr>
      </w:pPr>
    </w:p>
    <w:p w:rsidR="00326292" w:rsidP="009125CC" w14:paraId="646B3787" w14:textId="6DBF4D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2851F9">
        <w:rPr>
          <w:noProof/>
          <w:sz w:val="23"/>
          <w:szCs w:val="23"/>
        </w:rPr>
        <w:drawing>
          <wp:inline distT="0" distB="0" distL="0" distR="0">
            <wp:extent cx="1560576" cy="822960"/>
            <wp:effectExtent l="0" t="0" r="1905" b="0"/>
            <wp:docPr id="6935875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39954" name="Picture 2" descr="KS_KDHELogo_Blue-Gold_DHCF_CMY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7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814705</wp:posOffset>
                </wp:positionV>
                <wp:extent cx="4054475" cy="7038975"/>
                <wp:effectExtent l="0" t="0" r="3175" b="9525"/>
                <wp:wrapNone/>
                <wp:docPr id="149791843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A7" w:rsidP="001B3E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52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HCBS Rate Changes for </w:t>
                            </w:r>
                          </w:p>
                          <w:p w:rsidR="001B3EA7" w:rsidRPr="00D452C3" w:rsidP="001B3EA7" w14:textId="3792CF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52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Fiscal Year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 continued</w:t>
                            </w: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4760" w:type="dxa"/>
                              <w:jc w:val="center"/>
                              <w:tblLook w:val="04A0"/>
                            </w:tblPr>
                            <w:tblGrid>
                              <w:gridCol w:w="1840"/>
                              <w:gridCol w:w="1240"/>
                              <w:gridCol w:w="1680"/>
                            </w:tblGrid>
                            <w:tr w14:paraId="68F0A1EA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7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HCBS/Brain Injury (BI)</w:t>
                                  </w:r>
                                </w:p>
                              </w:tc>
                            </w:tr>
                            <w:tr w14:paraId="7C0047A1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6BAD02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2025</w:t>
                                  </w:r>
                                </w:p>
                                <w:p w:rsidR="001B3EA7" w:rsidRPr="001B3EA7" w:rsidP="001B3EA7" w14:textId="6461A5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Rate*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51ECF8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Unit Definition</w:t>
                                  </w:r>
                                </w:p>
                              </w:tc>
                            </w:tr>
                            <w:tr w14:paraId="23959E96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T2040 U2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$155.52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 month</w:t>
                                  </w:r>
                                </w:p>
                              </w:tc>
                            </w:tr>
                            <w:tr w14:paraId="40C24417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$4.88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246D99DA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UB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$4.10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4F3674AB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59CD0CD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T2025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$103.81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6 to 12 hrs.</w:t>
                                  </w:r>
                                </w:p>
                              </w:tc>
                            </w:tr>
                            <w:tr w14:paraId="60C6A5A4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14:paraId="49D08550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7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Physical Disability (PD)</w:t>
                                  </w:r>
                                </w:p>
                              </w:tc>
                            </w:tr>
                            <w:tr w14:paraId="1E80A537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3B1993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2025</w:t>
                                  </w:r>
                                </w:p>
                                <w:p w:rsidR="001B3EA7" w:rsidRPr="001B3EA7" w:rsidP="001B3EA7" w14:textId="1B2886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Rate*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E7E87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Unit Definition</w:t>
                                  </w:r>
                                </w:p>
                              </w:tc>
                            </w:tr>
                            <w:tr w14:paraId="1E89C8AA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4B8607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$4.88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30EFFE79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$4.88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0539F51A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S5125 U6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$4.10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15 min</w:t>
                                  </w:r>
                                </w:p>
                              </w:tc>
                            </w:tr>
                            <w:tr w14:paraId="595A2FE2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T2040 U2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$155.52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 month</w:t>
                                  </w:r>
                                </w:p>
                              </w:tc>
                            </w:tr>
                            <w:tr w14:paraId="7424037C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F11A7E" w14:textId="284D87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T2025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$103.81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6 to 12 hrs.</w:t>
                                  </w:r>
                                </w:p>
                              </w:tc>
                            </w:tr>
                            <w:tr w14:paraId="3B0F9483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14:paraId="1135ACF5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7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Autism (AU)</w:t>
                                  </w:r>
                                </w:p>
                              </w:tc>
                            </w:tr>
                            <w:tr w14:paraId="09213955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34C80C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Procedure Code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2025</w:t>
                                  </w:r>
                                </w:p>
                                <w:p w:rsidR="001B3EA7" w:rsidRPr="001B3EA7" w:rsidP="001B3EA7" w14:textId="64E4A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Rate*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1B3EA7" w:rsidRPr="001B3EA7" w:rsidP="001B3EA7" w14:textId="603D33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Unit Definition</w:t>
                                  </w:r>
                                </w:p>
                              </w:tc>
                            </w:tr>
                            <w:tr w14:paraId="4A55B146" w14:textId="77777777" w:rsidTr="0009146B">
                              <w:tblPrEx>
                                <w:tblW w:w="4760" w:type="dxa"/>
                                <w:jc w:val="center"/>
                                <w:tblLook w:val="04A0"/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T2040 U2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$155.52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3EA7" w:rsidRPr="001B3EA7" w:rsidP="001B3EA7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3EA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1 month</w:t>
                                  </w:r>
                                </w:p>
                              </w:tc>
                            </w:tr>
                          </w:tbl>
                          <w:p w:rsidR="001B3EA7" w:rsidRP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B3EA7" w:rsidRPr="001B3EA7" w:rsidP="001B3EA7" w14:textId="4399EC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* </w:t>
                            </w:r>
                            <w:r w:rsidRPr="001B3EA7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The rates noted in this bulletin are subject to future changes. Providers should check the Kansas Medical Assistance Program (KMAP) website for the most up-to-date rates.</w:t>
                            </w:r>
                          </w:p>
                          <w:p w:rsidR="001B3EA7" w:rsidRP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B3EA7" w:rsidRPr="001B3EA7" w:rsidP="001B3EA7" w14:textId="3FA8E4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Note:</w:t>
                            </w:r>
                            <w:r w:rsidRPr="001B3EA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The effective date of the policy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Ju</w:t>
                            </w:r>
                            <w:r w:rsidR="00D474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1, 2024. The implementation of State policy by the KanCare Managed Care Organizations (MCOs) may vary from the date noted in the KMAP bulletins. The </w:t>
                            </w:r>
                            <w:r w:rsidRPr="001B3EA7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KanCare Open Claims Resolution Log</w:t>
                            </w:r>
                            <w:r w:rsidRPr="001B3EA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on the KMAP </w:t>
                            </w:r>
                            <w:hyperlink r:id="rId7" w:history="1">
                              <w:r w:rsidRPr="001B3EA7">
                                <w:rPr>
                                  <w:rStyle w:val="Hyperlink"/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Bulletins</w:t>
                              </w:r>
                            </w:hyperlink>
                            <w:r w:rsidRPr="001B3EA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page documents the MCO system status for policy implementation and any associated reprocessing completion dates once the policy is implemented.</w:t>
                            </w:r>
                          </w:p>
                          <w:p w:rsidR="001B3EA7" w:rsidRPr="009D7C44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319.25pt;height:554.25pt;margin-top:64.1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7456" stroked="f">
                <v:textbox>
                  <w:txbxContent>
                    <w:p w:rsidR="001B3EA7" w:rsidP="001B3EA7" w14:paraId="50F21F22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52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HCBS Rate Changes for </w:t>
                      </w:r>
                    </w:p>
                    <w:p w:rsidR="001B3EA7" w:rsidRPr="00D452C3" w:rsidP="001B3EA7" w14:paraId="73A12C45" w14:textId="3792CF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52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Fiscal Year 202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 continued</w:t>
                      </w:r>
                    </w:p>
                    <w:p w:rsidR="001B3EA7" w:rsidP="001B3EA7" w14:paraId="092C59DE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tbl>
                      <w:tblPr>
                        <w:tblW w:w="4760" w:type="dxa"/>
                        <w:jc w:val="center"/>
                        <w:tblLook w:val="04A0"/>
                      </w:tblPr>
                      <w:tblGrid>
                        <w:gridCol w:w="1840"/>
                        <w:gridCol w:w="1240"/>
                        <w:gridCol w:w="1680"/>
                      </w:tblGrid>
                      <w:tr w14:paraId="68F0A1EA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47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2A891B7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HCBS/Brain Injury (BI)</w:t>
                            </w:r>
                          </w:p>
                        </w:tc>
                      </w:tr>
                      <w:tr w14:paraId="7C0047A1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7280727C" w14:textId="6BAD0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Procedure Code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P="001B3EA7" w14:paraId="7926E66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2025</w:t>
                            </w:r>
                          </w:p>
                          <w:p w:rsidR="001B3EA7" w:rsidRPr="001B3EA7" w:rsidP="001B3EA7" w14:paraId="44B4EF24" w14:textId="6461A5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Rate*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6C4707B9" w14:textId="51ECF8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Unit Definition</w:t>
                            </w:r>
                          </w:p>
                        </w:tc>
                      </w:tr>
                      <w:tr w14:paraId="23959E96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1C8DC6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T2040 U2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1BC516F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$155.52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08CC60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 month</w:t>
                            </w:r>
                          </w:p>
                        </w:tc>
                      </w:tr>
                      <w:tr w14:paraId="40C24417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DF1B92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U9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D58229E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$4.88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934FC5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246D99DA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7BB0B0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UB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DA41D15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$4.10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BFC985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4F3674AB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1BB3FC11" w14:textId="59CD0C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T2025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62D9D0AB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$103.81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9272EA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6 to 12 hrs.</w:t>
                            </w:r>
                          </w:p>
                        </w:tc>
                      </w:tr>
                      <w:tr w14:paraId="60C6A5A4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7726AB7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218C20C3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17D1A57F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14:paraId="49D08550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47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3FCD80B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Physical Disability (PD)</w:t>
                            </w:r>
                          </w:p>
                        </w:tc>
                      </w:tr>
                      <w:tr w14:paraId="1E80A537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5F971FCF" w14:textId="3B1993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Procedure Code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P="001B3EA7" w14:paraId="688D98B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2025</w:t>
                            </w:r>
                          </w:p>
                          <w:p w:rsidR="001B3EA7" w:rsidRPr="001B3EA7" w:rsidP="001B3EA7" w14:paraId="43AC288F" w14:textId="1B288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Rate*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3E9CC00E" w14:textId="7E7E87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Unit Definition</w:t>
                            </w:r>
                          </w:p>
                        </w:tc>
                      </w:tr>
                      <w:tr w14:paraId="1E89C8AA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484EF770" w14:textId="4B8607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UA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8774FF8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$4.88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4438D2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30EFFE79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6E3D28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U9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D10B521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$4.88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50160E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0539F51A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2023F6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S5125 U6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2B4704EC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$4.10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E94958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15 min</w:t>
                            </w:r>
                          </w:p>
                        </w:tc>
                      </w:tr>
                      <w:tr w14:paraId="595A2FE2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B7CA6B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T2040 U2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18154E4B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$155.52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04695E7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 month</w:t>
                            </w:r>
                          </w:p>
                        </w:tc>
                      </w:tr>
                      <w:tr w14:paraId="7424037C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F11A7E" w14:paraId="73EBC877" w14:textId="284D87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T2025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776757E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$103.81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6862AC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6 to 12 hrs.</w:t>
                            </w:r>
                          </w:p>
                        </w:tc>
                      </w:tr>
                      <w:tr w14:paraId="3B0F9483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24A69B2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269B827C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B3EA7" w:rsidRPr="001B3EA7" w:rsidP="001B3EA7" w14:paraId="36E99BED" w14:textId="77777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14:paraId="1135ACF5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47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5FC12F0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Autism (AU)</w:t>
                            </w:r>
                          </w:p>
                        </w:tc>
                      </w:tr>
                      <w:tr w14:paraId="09213955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5338FA2F" w14:textId="34C80C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Procedure Code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P="001B3EA7" w14:paraId="134BFAE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2025</w:t>
                            </w:r>
                          </w:p>
                          <w:p w:rsidR="001B3EA7" w:rsidRPr="001B3EA7" w:rsidP="001B3EA7" w14:paraId="4BE2CC58" w14:textId="64E4A8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Rate*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1B3EA7" w:rsidRPr="001B3EA7" w:rsidP="001B3EA7" w14:paraId="56C61BB1" w14:textId="603D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Unit Definition</w:t>
                            </w:r>
                          </w:p>
                        </w:tc>
                      </w:tr>
                      <w:tr w14:paraId="4A55B146" w14:textId="77777777" w:rsidTr="0009146B">
                        <w:tblPrEx>
                          <w:tblW w:w="4760" w:type="dxa"/>
                          <w:jc w:val="center"/>
                          <w:tblLook w:val="04A0"/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18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5AA1382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T2040 U2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75F46544" w14:textId="7777777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$155.52 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3EA7" w:rsidRPr="001B3EA7" w:rsidP="001B3EA7" w14:paraId="3BDDE2E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3EA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1 month</w:t>
                            </w:r>
                          </w:p>
                        </w:tc>
                      </w:tr>
                    </w:tbl>
                    <w:p w:rsidR="001B3EA7" w:rsidRPr="001B3EA7" w:rsidP="001B3EA7" w14:paraId="547E949C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B3EA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B3EA7" w:rsidRPr="001B3EA7" w:rsidP="001B3EA7" w14:paraId="1717F7C5" w14:textId="4399EC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* </w:t>
                      </w:r>
                      <w:r w:rsidRPr="001B3EA7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The rates noted in this bulletin are subject to future changes. Providers should check the Kansas Medical Assistance Program (KMAP) website for the most up-to-date rates.</w:t>
                      </w:r>
                    </w:p>
                    <w:p w:rsidR="001B3EA7" w:rsidRPr="001B3EA7" w:rsidP="001B3EA7" w14:paraId="742AF4CF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B3EA7" w:rsidRPr="001B3EA7" w:rsidP="001B3EA7" w14:paraId="2EFEA4D5" w14:textId="3FA8E4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B3EA7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Note:</w:t>
                      </w:r>
                      <w:r w:rsidRPr="001B3EA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The effective date of the policy is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Ju</w:t>
                      </w:r>
                      <w:r w:rsidR="00D4747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ly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1B3EA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1, 2024. The implementation of State policy by the KanCare Managed Care Organizations (MCOs) may vary from the date noted in the KMAP bulletins. The </w:t>
                      </w:r>
                      <w:r w:rsidRPr="001B3EA7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KanCare Open Claims Resolution Log</w:t>
                      </w:r>
                      <w:r w:rsidRPr="001B3EA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on the KMAP </w:t>
                      </w:r>
                      <w:hyperlink r:id="rId11" w:history="1">
                        <w:r w:rsidRPr="001B3EA7">
                          <w:rPr>
                            <w:rStyle w:val="Hyperlink"/>
                            <w:rFonts w:ascii="Times New Roman" w:hAnsi="Times New Roman" w:cs="Times New Roman"/>
                            <w:sz w:val="23"/>
                            <w:szCs w:val="23"/>
                          </w:rPr>
                          <w:t>Bulletins</w:t>
                        </w:r>
                      </w:hyperlink>
                      <w:r w:rsidRPr="001B3EA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page documents the MCO system status for policy implementation and any associated reprocessing completion dates once the policy is implemented.</w:t>
                      </w:r>
                    </w:p>
                    <w:p w:rsidR="001B3EA7" w:rsidRPr="009D7C44" w:rsidP="001B3EA7" w14:paraId="7A064E2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B3EA7" w:rsidP="001B3EA7" w14:paraId="5EF01E27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3CC1BA2D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6F101B6C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57F8FE96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064BA02E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1E4CB677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0000BE17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37891714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21471FE1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409EB22F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23269ECD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1BA6DD44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6B83356B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23A54129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15C17BF8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3ABD83CE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13763DD8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3A2F504D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442862BA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5C6061B8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7891BC1D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B3EA7" w:rsidP="001B3EA7" w14:paraId="40EDF5C0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1864995" cy="7429500"/>
                <wp:effectExtent l="0" t="0" r="1905" b="0"/>
                <wp:wrapNone/>
                <wp:docPr id="60649173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742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44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KMAP</w:t>
                            </w:r>
                          </w:p>
                          <w:p w:rsidR="001B3EA7" w:rsidP="001B3EA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51169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Kansas Medical Assistance Program</w:t>
                              </w:r>
                            </w:hyperlink>
                          </w:p>
                          <w:p w:rsidR="001B3EA7" w:rsidP="001B3EA7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8E441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Bulletins</w:t>
                              </w:r>
                            </w:hyperlink>
                          </w:p>
                          <w:p w:rsidR="001B3EA7" w:rsidP="001B3EA7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8E441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Manuals</w:t>
                              </w:r>
                            </w:hyperlink>
                          </w:p>
                          <w:p w:rsidR="001B3EA7" w:rsidP="001B3EA7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anchor="prvForms" w:history="1">
                              <w:r w:rsidRPr="008E441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Forms</w:t>
                              </w:r>
                            </w:hyperlink>
                          </w:p>
                          <w:p w:rsidR="001B3EA7" w:rsidRPr="00ED468B" w:rsidP="001B3EA7" w14:textId="77777777">
                            <w:pPr>
                              <w:pStyle w:val="Notice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EA7" w:rsidP="001B3EA7" w14:textId="77777777">
                            <w:pPr>
                              <w:pStyle w:val="Notice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4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Customer Service </w:t>
                            </w:r>
                          </w:p>
                          <w:p w:rsidR="001B3EA7" w:rsidP="001B3EA7" w14:textId="77777777">
                            <w:pPr>
                              <w:pStyle w:val="Notic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1-800-933-6593</w:t>
                            </w:r>
                          </w:p>
                          <w:p w:rsidR="001B3EA7" w:rsidRPr="008E441C" w:rsidP="001B3EA7" w14:textId="77777777">
                            <w:pPr>
                              <w:pStyle w:val="Notic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7:30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a.m.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- 5:3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 p.m.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Monday -</w:t>
                            </w:r>
                            <w:r w:rsidRPr="008E441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Friday</w:t>
                            </w:r>
                          </w:p>
                          <w:p w:rsidR="001B3EA7" w:rsidRPr="00ED468B" w:rsidP="001B3EA7" w14:textId="77777777">
                            <w:pPr>
                              <w:pStyle w:val="Notice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146.85pt;height:585pt;margin-top:55.15pt;margin-left:95.65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9504" fillcolor="#d8d8d8" stroked="f">
                <v:textbox>
                  <w:txbxContent>
                    <w:p w:rsidR="001B3EA7" w:rsidP="001B3EA7" w14:paraId="3EE245D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B3EA7" w:rsidP="001B3EA7" w14:paraId="099DC0A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3F4194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4679F65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4FEBF04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296E702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CD121C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4E0A473B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7B5B7E2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00337D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683252E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40360DE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74C06DC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5409AC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6A7E875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31B775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FBE10C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5997A49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2993564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461DEE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9B1EA9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9824B93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669A054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3DC8EAC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5FE2BAE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82983D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BB2B67B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620F401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7E1A56B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537CC82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7518343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3C9757C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1510343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29AF9BD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50FA3EA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2B4170D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891E2F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5FBCB37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653D834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3E1B9E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5A5592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3359707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093CCD3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7C99891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292D874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52ABB11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1FB5BAB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19C7CB0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20C4A443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32DE543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16518C7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3EA7" w:rsidP="001B3EA7" w14:paraId="5186537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44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KMAP</w:t>
                      </w:r>
                    </w:p>
                    <w:p w:rsidR="001B3EA7" w:rsidP="001B3EA7" w14:paraId="293D232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Pr="0051169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Kansas Medical Assistance Program</w:t>
                        </w:r>
                      </w:hyperlink>
                    </w:p>
                    <w:p w:rsidR="001B3EA7" w:rsidP="001B3EA7" w14:paraId="297B1D23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Pr="008E441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Bulletins</w:t>
                        </w:r>
                      </w:hyperlink>
                    </w:p>
                    <w:p w:rsidR="001B3EA7" w:rsidP="001B3EA7" w14:paraId="73198C7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2" w:history="1">
                        <w:r w:rsidRPr="008E441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Manuals</w:t>
                        </w:r>
                      </w:hyperlink>
                    </w:p>
                    <w:p w:rsidR="001B3EA7" w:rsidP="001B3EA7" w14:paraId="362FDA99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3" w:anchor="prvForms" w:history="1">
                        <w:r w:rsidRPr="008E441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Forms</w:t>
                        </w:r>
                      </w:hyperlink>
                    </w:p>
                    <w:p w:rsidR="001B3EA7" w:rsidRPr="00ED468B" w:rsidP="001B3EA7" w14:paraId="64E2002A" w14:textId="77777777">
                      <w:pPr>
                        <w:pStyle w:val="Notice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B3EA7" w:rsidP="001B3EA7" w14:paraId="4D2D2A44" w14:textId="77777777">
                      <w:pPr>
                        <w:pStyle w:val="Notice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46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Customer Service </w:t>
                      </w:r>
                    </w:p>
                    <w:p w:rsidR="001B3EA7" w:rsidP="001B3EA7" w14:paraId="58BB58D4" w14:textId="77777777">
                      <w:pPr>
                        <w:pStyle w:val="Notic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1-800-933-6593</w:t>
                      </w:r>
                    </w:p>
                    <w:p w:rsidR="001B3EA7" w:rsidRPr="008E441C" w:rsidP="001B3EA7" w14:paraId="264BACF6" w14:textId="77777777">
                      <w:pPr>
                        <w:pStyle w:val="Notic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7:30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a.m.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- 5:3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 p.m.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Monday -</w:t>
                      </w:r>
                      <w:r w:rsidRPr="008E441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Friday</w:t>
                      </w:r>
                    </w:p>
                    <w:p w:rsidR="001B3EA7" w:rsidRPr="00ED468B" w:rsidP="001B3EA7" w14:paraId="40371B14" w14:textId="77777777">
                      <w:pPr>
                        <w:pStyle w:val="Notice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664DED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296" w:rsidRPr="00A4142F" w:rsidP="00B10363" w14:paraId="6FCFA3A3" w14:textId="77777777">
    <w:pPr>
      <w:pStyle w:val="Footer"/>
      <w:rPr>
        <w:rFonts w:ascii="Times New Roman" w:hAnsi="Times New Roman" w:cs="Times New Roman"/>
      </w:rPr>
    </w:pPr>
  </w:p>
  <w:p w:rsidR="00DC5BF2" w:rsidRPr="00971CC7" w:rsidP="00DC5BF2" w14:paraId="0BC59848" w14:textId="35E67AC8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Gainwell Technologies</w:t>
    </w:r>
    <w:r w:rsidRPr="00971CC7">
      <w:rPr>
        <w:rFonts w:ascii="Times New Roman" w:hAnsi="Times New Roman" w:cs="Times New Roman"/>
        <w:sz w:val="16"/>
        <w:szCs w:val="16"/>
      </w:rPr>
      <w:t xml:space="preserve"> is the fiscal agent </w:t>
    </w:r>
    <w:r w:rsidR="00FE6635">
      <w:rPr>
        <w:rFonts w:ascii="Times New Roman" w:hAnsi="Times New Roman" w:cs="Times New Roman"/>
        <w:sz w:val="16"/>
        <w:szCs w:val="16"/>
      </w:rPr>
      <w:t>for</w:t>
    </w:r>
    <w:r w:rsidRPr="00971CC7">
      <w:rPr>
        <w:rFonts w:ascii="Times New Roman" w:hAnsi="Times New Roman" w:cs="Times New Roman"/>
        <w:sz w:val="16"/>
        <w:szCs w:val="16"/>
      </w:rPr>
      <w:t xml:space="preserve"> KMAP</w:t>
    </w:r>
  </w:p>
  <w:p w:rsidR="00021296" w:rsidRPr="00ED468B" w:rsidP="003E675A" w14:paraId="366FC392" w14:textId="77777777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021296" w:rsidRPr="00ED468B" w:rsidP="003E675A" w14:paraId="78AE8177" w14:textId="3C0DD93E">
    <w:pPr>
      <w:pStyle w:val="Footer"/>
      <w:jc w:val="right"/>
      <w:rPr>
        <w:rStyle w:val="PageNumber"/>
        <w:sz w:val="16"/>
        <w:szCs w:val="16"/>
      </w:rPr>
    </w:pPr>
    <w:r w:rsidRPr="00ED468B">
      <w:rPr>
        <w:rFonts w:ascii="Times New Roman" w:hAnsi="Times New Roman" w:cs="Times New Roman"/>
        <w:sz w:val="16"/>
        <w:szCs w:val="16"/>
      </w:rPr>
      <w:t xml:space="preserve">Page </w:t>
    </w:r>
    <w:r w:rsidRPr="00ED468B">
      <w:rPr>
        <w:rFonts w:ascii="Times New Roman" w:hAnsi="Times New Roman" w:cs="Times New Roman"/>
        <w:sz w:val="16"/>
        <w:szCs w:val="16"/>
      </w:rPr>
      <w:fldChar w:fldCharType="begin"/>
    </w:r>
    <w:r w:rsidRPr="00ED468B">
      <w:rPr>
        <w:rFonts w:ascii="Times New Roman" w:hAnsi="Times New Roman" w:cs="Times New Roman"/>
        <w:sz w:val="16"/>
        <w:szCs w:val="16"/>
      </w:rPr>
      <w:instrText xml:space="preserve"> PAGE </w:instrText>
    </w:r>
    <w:r w:rsidRPr="00ED468B">
      <w:rPr>
        <w:rFonts w:ascii="Times New Roman" w:hAnsi="Times New Roman" w:cs="Times New Roman"/>
        <w:sz w:val="16"/>
        <w:szCs w:val="16"/>
      </w:rPr>
      <w:fldChar w:fldCharType="separate"/>
    </w:r>
    <w:r w:rsidR="00112A5C">
      <w:rPr>
        <w:rFonts w:ascii="Times New Roman" w:hAnsi="Times New Roman" w:cs="Times New Roman"/>
        <w:noProof/>
        <w:sz w:val="16"/>
        <w:szCs w:val="16"/>
      </w:rPr>
      <w:t>5</w:t>
    </w:r>
    <w:r w:rsidRPr="00ED468B">
      <w:rPr>
        <w:rFonts w:ascii="Times New Roman" w:hAnsi="Times New Roman" w:cs="Times New Roman"/>
        <w:sz w:val="16"/>
        <w:szCs w:val="16"/>
      </w:rPr>
      <w:fldChar w:fldCharType="end"/>
    </w:r>
    <w:r>
      <w:rPr>
        <w:rStyle w:val="PageNumber"/>
        <w:rFonts w:ascii="Times New Roman" w:hAnsi="Times New Roman" w:cs="Times New Roman"/>
        <w:sz w:val="16"/>
        <w:szCs w:val="16"/>
      </w:rPr>
      <w:t xml:space="preserve"> of </w:t>
    </w:r>
    <w:r w:rsidR="001B3EA7">
      <w:rPr>
        <w:rStyle w:val="PageNumber"/>
        <w:rFonts w:ascii="Times New Roman" w:hAnsi="Times New Roman" w:cs="Times New Roman"/>
        <w:sz w:val="16"/>
        <w:szCs w:val="16"/>
      </w:rPr>
      <w:t>2</w:t>
    </w:r>
  </w:p>
  <w:p w:rsidR="00021296" w14:paraId="59A9B2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1AF9" w:rsidP="00331AF9" w14:paraId="10AFE288" w14:textId="7777777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2055495</wp:posOffset>
          </wp:positionH>
          <wp:positionV relativeFrom="paragraph">
            <wp:posOffset>-55245</wp:posOffset>
          </wp:positionV>
          <wp:extent cx="1148080" cy="4171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087259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6" r="11235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-230505</wp:posOffset>
          </wp:positionV>
          <wp:extent cx="862965" cy="571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368896" name="Sunflower.jpg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-18415</wp:posOffset>
          </wp:positionV>
          <wp:extent cx="1020445" cy="368935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072662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5" r="-5099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</w:t>
    </w:r>
    <w:r>
      <w:tab/>
      <w:t xml:space="preserve">                </w:t>
    </w:r>
  </w:p>
  <w:p w:rsidR="00037939" w:rsidRPr="00331AF9" w:rsidP="00331AF9" w14:paraId="0276EF9F" w14:textId="51DFC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620423"/>
    <w:multiLevelType w:val="hybridMultilevel"/>
    <w:tmpl w:val="DBBE8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10C"/>
    <w:multiLevelType w:val="hybridMultilevel"/>
    <w:tmpl w:val="540E17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3EE5"/>
    <w:multiLevelType w:val="hybridMultilevel"/>
    <w:tmpl w:val="4BF69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5CB"/>
    <w:multiLevelType w:val="hybridMultilevel"/>
    <w:tmpl w:val="7EB0B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11F6"/>
    <w:multiLevelType w:val="hybridMultilevel"/>
    <w:tmpl w:val="A08A5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2167"/>
    <w:multiLevelType w:val="hybridMultilevel"/>
    <w:tmpl w:val="36D87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66A4"/>
    <w:multiLevelType w:val="hybridMultilevel"/>
    <w:tmpl w:val="31ACE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EastAsia" w:cs="Times New Roman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612E"/>
    <w:multiLevelType w:val="hybridMultilevel"/>
    <w:tmpl w:val="ED08CA0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4652"/>
    <w:multiLevelType w:val="hybridMultilevel"/>
    <w:tmpl w:val="1C706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84E57"/>
    <w:multiLevelType w:val="hybridMultilevel"/>
    <w:tmpl w:val="7840AD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C2FA9"/>
    <w:multiLevelType w:val="hybridMultilevel"/>
    <w:tmpl w:val="57920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75A9E"/>
    <w:multiLevelType w:val="hybridMultilevel"/>
    <w:tmpl w:val="3B50B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42EEE"/>
    <w:multiLevelType w:val="hybridMultilevel"/>
    <w:tmpl w:val="85F80A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D5155"/>
    <w:multiLevelType w:val="hybridMultilevel"/>
    <w:tmpl w:val="F1726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4162"/>
    <w:multiLevelType w:val="hybridMultilevel"/>
    <w:tmpl w:val="151AE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40124"/>
    <w:multiLevelType w:val="hybridMultilevel"/>
    <w:tmpl w:val="BF2C8EE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CA0620"/>
    <w:multiLevelType w:val="hybridMultilevel"/>
    <w:tmpl w:val="383A5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2F99"/>
    <w:multiLevelType w:val="hybridMultilevel"/>
    <w:tmpl w:val="79B82B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A5425"/>
    <w:multiLevelType w:val="hybridMultilevel"/>
    <w:tmpl w:val="6F600E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3D6F9E"/>
    <w:multiLevelType w:val="hybridMultilevel"/>
    <w:tmpl w:val="9A4AA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074FB"/>
    <w:multiLevelType w:val="hybridMultilevel"/>
    <w:tmpl w:val="6E1ED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63D85"/>
    <w:multiLevelType w:val="hybridMultilevel"/>
    <w:tmpl w:val="AEA6B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B0A33"/>
    <w:multiLevelType w:val="hybridMultilevel"/>
    <w:tmpl w:val="23B8D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21"/>
  </w:num>
  <w:num w:numId="7">
    <w:abstractNumId w:val="11"/>
  </w:num>
  <w:num w:numId="8">
    <w:abstractNumId w:val="17"/>
  </w:num>
  <w:num w:numId="9">
    <w:abstractNumId w:val="1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15"/>
  </w:num>
  <w:num w:numId="19">
    <w:abstractNumId w:val="15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7E"/>
    <w:rsid w:val="00002552"/>
    <w:rsid w:val="00004528"/>
    <w:rsid w:val="0000623D"/>
    <w:rsid w:val="00007C5B"/>
    <w:rsid w:val="0001413E"/>
    <w:rsid w:val="00021296"/>
    <w:rsid w:val="00033C6A"/>
    <w:rsid w:val="00035C95"/>
    <w:rsid w:val="00037939"/>
    <w:rsid w:val="00053255"/>
    <w:rsid w:val="00057D97"/>
    <w:rsid w:val="00063074"/>
    <w:rsid w:val="00064FCB"/>
    <w:rsid w:val="00086FDE"/>
    <w:rsid w:val="00090100"/>
    <w:rsid w:val="000A43F3"/>
    <w:rsid w:val="000B5A18"/>
    <w:rsid w:val="000C7A9B"/>
    <w:rsid w:val="000D0E0E"/>
    <w:rsid w:val="000F2D14"/>
    <w:rsid w:val="000F53C2"/>
    <w:rsid w:val="00101142"/>
    <w:rsid w:val="00103095"/>
    <w:rsid w:val="00111C13"/>
    <w:rsid w:val="00112A5C"/>
    <w:rsid w:val="001342E3"/>
    <w:rsid w:val="001375DB"/>
    <w:rsid w:val="00151366"/>
    <w:rsid w:val="001551EA"/>
    <w:rsid w:val="00155422"/>
    <w:rsid w:val="0016443C"/>
    <w:rsid w:val="0016514B"/>
    <w:rsid w:val="0017707E"/>
    <w:rsid w:val="001825BC"/>
    <w:rsid w:val="00187789"/>
    <w:rsid w:val="00194095"/>
    <w:rsid w:val="001950F8"/>
    <w:rsid w:val="001B07A1"/>
    <w:rsid w:val="001B2724"/>
    <w:rsid w:val="001B31C4"/>
    <w:rsid w:val="001B3EA7"/>
    <w:rsid w:val="001B5B0B"/>
    <w:rsid w:val="001C30C6"/>
    <w:rsid w:val="001C404F"/>
    <w:rsid w:val="001C6AEF"/>
    <w:rsid w:val="001D3198"/>
    <w:rsid w:val="001D5360"/>
    <w:rsid w:val="001E2599"/>
    <w:rsid w:val="001F32D9"/>
    <w:rsid w:val="0020329E"/>
    <w:rsid w:val="002200B6"/>
    <w:rsid w:val="00224EC9"/>
    <w:rsid w:val="002265BC"/>
    <w:rsid w:val="002403BC"/>
    <w:rsid w:val="002462F5"/>
    <w:rsid w:val="00274E91"/>
    <w:rsid w:val="002851F9"/>
    <w:rsid w:val="002902C3"/>
    <w:rsid w:val="00290D03"/>
    <w:rsid w:val="002A0126"/>
    <w:rsid w:val="002C4046"/>
    <w:rsid w:val="002C45C7"/>
    <w:rsid w:val="002C7E62"/>
    <w:rsid w:val="002D025B"/>
    <w:rsid w:val="002F7167"/>
    <w:rsid w:val="003045A6"/>
    <w:rsid w:val="0032472E"/>
    <w:rsid w:val="00326292"/>
    <w:rsid w:val="0033076E"/>
    <w:rsid w:val="00331AF9"/>
    <w:rsid w:val="00334466"/>
    <w:rsid w:val="0034166D"/>
    <w:rsid w:val="003437F4"/>
    <w:rsid w:val="00353AA3"/>
    <w:rsid w:val="00363E37"/>
    <w:rsid w:val="0037530E"/>
    <w:rsid w:val="00385ABB"/>
    <w:rsid w:val="00393EFF"/>
    <w:rsid w:val="003A2BA7"/>
    <w:rsid w:val="003A4253"/>
    <w:rsid w:val="003B0782"/>
    <w:rsid w:val="003B5CF9"/>
    <w:rsid w:val="003B7BDB"/>
    <w:rsid w:val="003C5088"/>
    <w:rsid w:val="003D05F9"/>
    <w:rsid w:val="003D09F8"/>
    <w:rsid w:val="003D3635"/>
    <w:rsid w:val="003E563D"/>
    <w:rsid w:val="003E675A"/>
    <w:rsid w:val="0040072F"/>
    <w:rsid w:val="00414F24"/>
    <w:rsid w:val="004154E1"/>
    <w:rsid w:val="00415A7E"/>
    <w:rsid w:val="004230D9"/>
    <w:rsid w:val="00426BB6"/>
    <w:rsid w:val="00441A41"/>
    <w:rsid w:val="004464FC"/>
    <w:rsid w:val="0045232C"/>
    <w:rsid w:val="0045528F"/>
    <w:rsid w:val="0045592D"/>
    <w:rsid w:val="0047318F"/>
    <w:rsid w:val="004744CC"/>
    <w:rsid w:val="004746DA"/>
    <w:rsid w:val="0047680C"/>
    <w:rsid w:val="00480033"/>
    <w:rsid w:val="00481937"/>
    <w:rsid w:val="0048690B"/>
    <w:rsid w:val="0048743B"/>
    <w:rsid w:val="00492DC0"/>
    <w:rsid w:val="004C5920"/>
    <w:rsid w:val="004D2ECA"/>
    <w:rsid w:val="004E3CEC"/>
    <w:rsid w:val="004E4BF3"/>
    <w:rsid w:val="004E5AA9"/>
    <w:rsid w:val="004E6280"/>
    <w:rsid w:val="004F506F"/>
    <w:rsid w:val="0051015C"/>
    <w:rsid w:val="00511693"/>
    <w:rsid w:val="00516882"/>
    <w:rsid w:val="005203CD"/>
    <w:rsid w:val="005233FD"/>
    <w:rsid w:val="00531411"/>
    <w:rsid w:val="00561885"/>
    <w:rsid w:val="00562D50"/>
    <w:rsid w:val="005740B3"/>
    <w:rsid w:val="00586205"/>
    <w:rsid w:val="005931D2"/>
    <w:rsid w:val="00593C62"/>
    <w:rsid w:val="005A014B"/>
    <w:rsid w:val="005A6CD5"/>
    <w:rsid w:val="005B448E"/>
    <w:rsid w:val="005C15E5"/>
    <w:rsid w:val="005E1B49"/>
    <w:rsid w:val="005F470B"/>
    <w:rsid w:val="0061107E"/>
    <w:rsid w:val="00612310"/>
    <w:rsid w:val="00623B8E"/>
    <w:rsid w:val="00630AF8"/>
    <w:rsid w:val="006324CF"/>
    <w:rsid w:val="00636581"/>
    <w:rsid w:val="006373CC"/>
    <w:rsid w:val="006420E2"/>
    <w:rsid w:val="0064436A"/>
    <w:rsid w:val="00662F09"/>
    <w:rsid w:val="00664DED"/>
    <w:rsid w:val="006674ED"/>
    <w:rsid w:val="006703B9"/>
    <w:rsid w:val="00670415"/>
    <w:rsid w:val="006733C2"/>
    <w:rsid w:val="00675E7D"/>
    <w:rsid w:val="00693436"/>
    <w:rsid w:val="006A49C3"/>
    <w:rsid w:val="006A5A23"/>
    <w:rsid w:val="006B10E0"/>
    <w:rsid w:val="006C6454"/>
    <w:rsid w:val="006C7405"/>
    <w:rsid w:val="006C7C02"/>
    <w:rsid w:val="006D1F17"/>
    <w:rsid w:val="006D5A20"/>
    <w:rsid w:val="006D7F2B"/>
    <w:rsid w:val="006E1031"/>
    <w:rsid w:val="006E5BFD"/>
    <w:rsid w:val="006F2B5A"/>
    <w:rsid w:val="006F4FA1"/>
    <w:rsid w:val="00704F7F"/>
    <w:rsid w:val="00713CAB"/>
    <w:rsid w:val="00713F73"/>
    <w:rsid w:val="0071422A"/>
    <w:rsid w:val="00733019"/>
    <w:rsid w:val="007364D0"/>
    <w:rsid w:val="0073756C"/>
    <w:rsid w:val="0074008D"/>
    <w:rsid w:val="00740A30"/>
    <w:rsid w:val="00754C49"/>
    <w:rsid w:val="0076454C"/>
    <w:rsid w:val="0077116F"/>
    <w:rsid w:val="00773F14"/>
    <w:rsid w:val="00777410"/>
    <w:rsid w:val="00787587"/>
    <w:rsid w:val="007A1B36"/>
    <w:rsid w:val="007B0224"/>
    <w:rsid w:val="007B799D"/>
    <w:rsid w:val="007C54F0"/>
    <w:rsid w:val="007C6B90"/>
    <w:rsid w:val="007D1BC9"/>
    <w:rsid w:val="007F4A9D"/>
    <w:rsid w:val="008016E1"/>
    <w:rsid w:val="00815097"/>
    <w:rsid w:val="00825913"/>
    <w:rsid w:val="008278C3"/>
    <w:rsid w:val="00840694"/>
    <w:rsid w:val="0084362B"/>
    <w:rsid w:val="0085144D"/>
    <w:rsid w:val="00851EE9"/>
    <w:rsid w:val="00864479"/>
    <w:rsid w:val="0087515A"/>
    <w:rsid w:val="0087736B"/>
    <w:rsid w:val="00882D6A"/>
    <w:rsid w:val="00886DC0"/>
    <w:rsid w:val="00893569"/>
    <w:rsid w:val="008A558A"/>
    <w:rsid w:val="008B5A11"/>
    <w:rsid w:val="008C4528"/>
    <w:rsid w:val="008D41D2"/>
    <w:rsid w:val="008E441C"/>
    <w:rsid w:val="009125CC"/>
    <w:rsid w:val="00932967"/>
    <w:rsid w:val="0093412F"/>
    <w:rsid w:val="00934DC0"/>
    <w:rsid w:val="00942518"/>
    <w:rsid w:val="00951484"/>
    <w:rsid w:val="00953675"/>
    <w:rsid w:val="00953785"/>
    <w:rsid w:val="00954C64"/>
    <w:rsid w:val="00956CE0"/>
    <w:rsid w:val="00963D12"/>
    <w:rsid w:val="00966016"/>
    <w:rsid w:val="00970C18"/>
    <w:rsid w:val="00971CC7"/>
    <w:rsid w:val="00977930"/>
    <w:rsid w:val="00983025"/>
    <w:rsid w:val="0099438A"/>
    <w:rsid w:val="009A1046"/>
    <w:rsid w:val="009B4626"/>
    <w:rsid w:val="009D3CC6"/>
    <w:rsid w:val="009D699D"/>
    <w:rsid w:val="009D7C44"/>
    <w:rsid w:val="009E627F"/>
    <w:rsid w:val="00A02EF2"/>
    <w:rsid w:val="00A05D30"/>
    <w:rsid w:val="00A06E2C"/>
    <w:rsid w:val="00A17CE1"/>
    <w:rsid w:val="00A21DF4"/>
    <w:rsid w:val="00A2641F"/>
    <w:rsid w:val="00A400D1"/>
    <w:rsid w:val="00A4142F"/>
    <w:rsid w:val="00A47A85"/>
    <w:rsid w:val="00A578CD"/>
    <w:rsid w:val="00A625B0"/>
    <w:rsid w:val="00A719FD"/>
    <w:rsid w:val="00A728F1"/>
    <w:rsid w:val="00A8061F"/>
    <w:rsid w:val="00A86A22"/>
    <w:rsid w:val="00A877D0"/>
    <w:rsid w:val="00A87AC5"/>
    <w:rsid w:val="00AA0176"/>
    <w:rsid w:val="00AA06AD"/>
    <w:rsid w:val="00AC007E"/>
    <w:rsid w:val="00AC3F25"/>
    <w:rsid w:val="00AE010D"/>
    <w:rsid w:val="00AE51A8"/>
    <w:rsid w:val="00B003F1"/>
    <w:rsid w:val="00B04C09"/>
    <w:rsid w:val="00B10363"/>
    <w:rsid w:val="00B10B63"/>
    <w:rsid w:val="00B12C77"/>
    <w:rsid w:val="00B133ED"/>
    <w:rsid w:val="00B17E5F"/>
    <w:rsid w:val="00B25D3C"/>
    <w:rsid w:val="00B30A08"/>
    <w:rsid w:val="00B31FDD"/>
    <w:rsid w:val="00B44F81"/>
    <w:rsid w:val="00B539C6"/>
    <w:rsid w:val="00B70A83"/>
    <w:rsid w:val="00B75F46"/>
    <w:rsid w:val="00BC59A8"/>
    <w:rsid w:val="00BC7764"/>
    <w:rsid w:val="00BD3D6E"/>
    <w:rsid w:val="00BD6481"/>
    <w:rsid w:val="00BD6CA6"/>
    <w:rsid w:val="00BF2402"/>
    <w:rsid w:val="00C15B30"/>
    <w:rsid w:val="00C1694A"/>
    <w:rsid w:val="00C22A62"/>
    <w:rsid w:val="00C24F15"/>
    <w:rsid w:val="00C40BE5"/>
    <w:rsid w:val="00C67C24"/>
    <w:rsid w:val="00C75113"/>
    <w:rsid w:val="00C85FBB"/>
    <w:rsid w:val="00CA6BDF"/>
    <w:rsid w:val="00CC7EA6"/>
    <w:rsid w:val="00CD7483"/>
    <w:rsid w:val="00CE4E65"/>
    <w:rsid w:val="00CF69CE"/>
    <w:rsid w:val="00CF70EC"/>
    <w:rsid w:val="00D0041E"/>
    <w:rsid w:val="00D03C84"/>
    <w:rsid w:val="00D17528"/>
    <w:rsid w:val="00D217B8"/>
    <w:rsid w:val="00D2377A"/>
    <w:rsid w:val="00D32DB2"/>
    <w:rsid w:val="00D40CAE"/>
    <w:rsid w:val="00D452C3"/>
    <w:rsid w:val="00D4747A"/>
    <w:rsid w:val="00D50D4C"/>
    <w:rsid w:val="00D731C8"/>
    <w:rsid w:val="00D81494"/>
    <w:rsid w:val="00D87D0C"/>
    <w:rsid w:val="00D92EE0"/>
    <w:rsid w:val="00DB7FA2"/>
    <w:rsid w:val="00DC5BF2"/>
    <w:rsid w:val="00DE2B96"/>
    <w:rsid w:val="00DE7BC1"/>
    <w:rsid w:val="00DF2684"/>
    <w:rsid w:val="00E13B3D"/>
    <w:rsid w:val="00E215B2"/>
    <w:rsid w:val="00E23607"/>
    <w:rsid w:val="00E2552C"/>
    <w:rsid w:val="00E27C22"/>
    <w:rsid w:val="00E304E7"/>
    <w:rsid w:val="00E32336"/>
    <w:rsid w:val="00E32725"/>
    <w:rsid w:val="00E3460F"/>
    <w:rsid w:val="00E46D1F"/>
    <w:rsid w:val="00E6694F"/>
    <w:rsid w:val="00E67DDE"/>
    <w:rsid w:val="00E76B74"/>
    <w:rsid w:val="00E800E8"/>
    <w:rsid w:val="00E812BF"/>
    <w:rsid w:val="00E84300"/>
    <w:rsid w:val="00E84A41"/>
    <w:rsid w:val="00E92A8D"/>
    <w:rsid w:val="00EA267C"/>
    <w:rsid w:val="00EB297D"/>
    <w:rsid w:val="00EC71DD"/>
    <w:rsid w:val="00ED20BE"/>
    <w:rsid w:val="00ED27E6"/>
    <w:rsid w:val="00ED468B"/>
    <w:rsid w:val="00EF7DE5"/>
    <w:rsid w:val="00F076FC"/>
    <w:rsid w:val="00F11A7E"/>
    <w:rsid w:val="00F17D07"/>
    <w:rsid w:val="00F20A24"/>
    <w:rsid w:val="00F3783A"/>
    <w:rsid w:val="00F43213"/>
    <w:rsid w:val="00F528CC"/>
    <w:rsid w:val="00F53FD2"/>
    <w:rsid w:val="00F8036D"/>
    <w:rsid w:val="00F80C44"/>
    <w:rsid w:val="00F95228"/>
    <w:rsid w:val="00FA0414"/>
    <w:rsid w:val="00FB6C16"/>
    <w:rsid w:val="00FB75F4"/>
    <w:rsid w:val="00FC4FCA"/>
    <w:rsid w:val="00FD238C"/>
    <w:rsid w:val="00FD6782"/>
    <w:rsid w:val="00FE4258"/>
    <w:rsid w:val="00FE48CD"/>
    <w:rsid w:val="00FE6635"/>
    <w:rsid w:val="00FF0D6A"/>
    <w:rsid w:val="00FF7351"/>
    <w:rsid w:val="00FF7E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7E"/>
  </w:style>
  <w:style w:type="paragraph" w:styleId="Footer">
    <w:name w:val="footer"/>
    <w:basedOn w:val="Normal"/>
    <w:link w:val="FooterChar"/>
    <w:unhideWhenUsed/>
    <w:rsid w:val="0041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5A7E"/>
  </w:style>
  <w:style w:type="paragraph" w:styleId="BalloonText">
    <w:name w:val="Balloon Text"/>
    <w:basedOn w:val="Normal"/>
    <w:link w:val="BalloonTextChar"/>
    <w:uiPriority w:val="99"/>
    <w:semiHidden/>
    <w:unhideWhenUsed/>
    <w:rsid w:val="0073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528CC"/>
    <w:rPr>
      <w:color w:val="0000FF"/>
      <w:u w:val="single"/>
    </w:rPr>
  </w:style>
  <w:style w:type="paragraph" w:customStyle="1" w:styleId="Noticetext">
    <w:name w:val="Notice text"/>
    <w:basedOn w:val="Normal"/>
    <w:rsid w:val="00C67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10363"/>
  </w:style>
  <w:style w:type="paragraph" w:styleId="ListParagraph">
    <w:name w:val="List Paragraph"/>
    <w:basedOn w:val="Normal"/>
    <w:uiPriority w:val="34"/>
    <w:qFormat/>
    <w:rsid w:val="008E441C"/>
    <w:pPr>
      <w:ind w:left="720"/>
      <w:contextualSpacing/>
    </w:pPr>
  </w:style>
  <w:style w:type="paragraph" w:customStyle="1" w:styleId="Default">
    <w:name w:val="Default"/>
    <w:rsid w:val="00740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C00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F26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9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3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1C8"/>
    <w:pPr>
      <w:spacing w:before="100" w:beforeAutospacing="1" w:after="100" w:afterAutospacing="1" w:line="240" w:lineRule="auto"/>
    </w:pPr>
    <w:rPr>
      <w:rFonts w:ascii="Calibri" w:hAnsi="Calibri"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portal.kmap-state-ks.us/PublicPage" TargetMode="External" /><Relationship Id="rId11" Type="http://schemas.openxmlformats.org/officeDocument/2006/relationships/hyperlink" Target="https://portal.kmap-state-ks.us/PublicPage/Public/Bulletins/" TargetMode="External" /><Relationship Id="rId12" Type="http://schemas.openxmlformats.org/officeDocument/2006/relationships/hyperlink" Target="https://portal.kmap-state-ks.us/PublicPage/Public/ProviderManuals" TargetMode="External" /><Relationship Id="rId13" Type="http://schemas.openxmlformats.org/officeDocument/2006/relationships/hyperlink" Target="https://portal.kmap-state-ks.us/PublicPage/ProviderPricing/ProviderPublications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url.avanan.click/v2/___https://portal.kmap-state-ks.us/PublicPage___.YXAzOmxlYWRpbmdhZ2VrYW5zYXM6YTpvOjEzMDExNGUyN2I5ZTBmNzY5MTMwNDYyMThjNGU1OGFjOjY6MDE5ODowM2JiZTU0ODgzYTQzZDZhMzdiODMwMmIwMWU0ZWJkYjA4MDYwNDA4MjRiYWQ2OTYwYWE3Y2RhZTZmMTVhNGU5OnA6VA" TargetMode="External" /><Relationship Id="rId7" Type="http://schemas.openxmlformats.org/officeDocument/2006/relationships/hyperlink" Target="https://url.avanan.click/v2/___https://portal.kmap-state-ks.us/PublicPage/Public/Bulletins/___.YXAzOmxlYWRpbmdhZ2VrYW5zYXM6YTpvOjEzMDExNGUyN2I5ZTBmNzY5MTMwNDYyMThjNGU1OGFjOjY6NDk1NToyZGExYWJhZDcyNGUwOWY4MWEyZTMyNjM5YTk2OWIyNzA4MmNiNzcyOWRkZjU1N2JlNjEyZWJhMzA5MjFhMjk0OnA6VA" TargetMode="External" /><Relationship Id="rId8" Type="http://schemas.openxmlformats.org/officeDocument/2006/relationships/hyperlink" Target="https://url.avanan.click/v2/___https://portal.kmap-state-ks.us/PublicPage/Public/ProviderManuals___.YXAzOmxlYWRpbmdhZ2VrYW5zYXM6YTpvOjEzMDExNGUyN2I5ZTBmNzY5MTMwNDYyMThjNGU1OGFjOjY6NDRhMDo3MzY1NjA2NWEwNGRiNWQwMjY1NTdhNjczYjNhYzVhYWM3YTZhMGYzYzBmZDAxMTEzZTczZjIxOWIyN2RmOWVlOnA6VA" TargetMode="External" /><Relationship Id="rId9" Type="http://schemas.openxmlformats.org/officeDocument/2006/relationships/hyperlink" Target="https://url.avanan.click/v2/___https://portal.kmap-state-ks.us/PublicPage/ProviderPricing/ProviderPublications___.YXAzOmxlYWRpbmdhZ2VrYW5zYXM6YTpvOjEzMDExNGUyN2I5ZTBmNzY5MTMwNDYyMThjNGU1OGFjOjY6NGY0MjoxM2Y0ZmQ1ZTc3NTNkMWE2MzA4NmExMThlY2U3NDhiZWIwYTE1M2MwMTljMWNiZWIzNWY1MWI1ZjlhNmM3ZTZhOnA6VA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9287-B0DE-49F6-966F-E1FA991F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2024-05-24T21:16:00Z</dcterms:created>
  <dcterms:modified xsi:type="dcterms:W3CDTF">2024-06-06T14:58:00Z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aae718368218ca64400c0bdbdd3cec645b2153afb3458c5f5dda740afeb4484e</vt:lpwstr>
  </property>
</Properties>
</file>