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1BB" w:rsidRDefault="009801BB">
                            <w:pPr>
                              <w:rPr>
                                <w:rFonts w:ascii="Calibri" w:hAnsi="Calibri"/>
                                <w:color w:val="FFFFFF" w:themeColor="background1"/>
                                <w:sz w:val="72"/>
                              </w:rPr>
                            </w:pPr>
                            <w:r>
                              <w:rPr>
                                <w:rFonts w:ascii="Calibri" w:hAnsi="Calibri"/>
                                <w:color w:val="FFFFFF" w:themeColor="background1"/>
                                <w:sz w:val="72"/>
                              </w:rPr>
                              <w:t>Advance Directive</w:t>
                            </w:r>
                          </w:p>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Policy</w:t>
                            </w:r>
                            <w:r w:rsidR="00BE4375">
                              <w:rPr>
                                <w:rFonts w:ascii="Calibri" w:hAnsi="Calibri"/>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9801BB" w:rsidRDefault="009801BB">
                      <w:pPr>
                        <w:rPr>
                          <w:rFonts w:ascii="Calibri" w:hAnsi="Calibri"/>
                          <w:color w:val="FFFFFF" w:themeColor="background1"/>
                          <w:sz w:val="72"/>
                        </w:rPr>
                      </w:pPr>
                      <w:r>
                        <w:rPr>
                          <w:rFonts w:ascii="Calibri" w:hAnsi="Calibri"/>
                          <w:color w:val="FFFFFF" w:themeColor="background1"/>
                          <w:sz w:val="72"/>
                        </w:rPr>
                        <w:t>Advance Directive</w:t>
                      </w:r>
                    </w:p>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Policy</w:t>
                      </w:r>
                      <w:r w:rsidR="00BE4375">
                        <w:rPr>
                          <w:rFonts w:ascii="Calibri" w:hAnsi="Calibri"/>
                          <w:color w:val="FFFFFF" w:themeColor="background1"/>
                          <w:sz w:val="72"/>
                        </w:rPr>
                        <w:t xml:space="preserve"> and Procedure</w:t>
                      </w:r>
                    </w:p>
                  </w:txbxContent>
                </v:textbox>
                <w10:wrap anchory="page"/>
              </v:shape>
            </w:pict>
          </mc:Fallback>
        </mc:AlternateContent>
      </w:r>
    </w:p>
    <w:p w:rsidR="009801BB" w:rsidRDefault="00605605" w:rsidP="009801BB">
      <w:pPr>
        <w:rPr>
          <w:rFonts w:asciiTheme="minorHAnsi" w:hAnsiTheme="minorHAnsi"/>
          <w:b/>
          <w:color w:val="000000" w:themeColor="text1"/>
          <w:sz w:val="22"/>
          <w:szCs w:val="22"/>
        </w:rPr>
      </w:pPr>
      <w:r>
        <w:rPr>
          <w:rFonts w:ascii="Calibri" w:hAnsi="Calibri"/>
          <w:b/>
          <w:noProof/>
          <w:sz w:val="32"/>
        </w:rPr>
        <mc:AlternateContent>
          <mc:Choice Requires="wps">
            <w:drawing>
              <wp:anchor distT="0" distB="0" distL="114300" distR="114300" simplePos="0" relativeHeight="251662336" behindDoc="0" locked="0" layoutInCell="1" allowOverlap="1" wp14:anchorId="04B24BC5" wp14:editId="47117951">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Pr="00605605" w:rsidRDefault="0030079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sidRPr="0030079D">
                              <w:drawing>
                                <wp:inline distT="0" distB="0" distL="0" distR="0">
                                  <wp:extent cx="1371600" cy="601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24BC5" id="Text Box 1" o:spid="_x0000_s1027" type="#_x0000_t202" style="position:absolute;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Pr="00605605" w:rsidRDefault="0030079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sidRPr="0030079D">
                        <w:drawing>
                          <wp:inline distT="0" distB="0" distL="0" distR="0">
                            <wp:extent cx="1371600" cy="601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inline>
                        </w:drawing>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0467ED79" wp14:editId="220DF4A7">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7ED79" id="Text Box 5" o:spid="_x0000_s1028" type="#_x0000_t202" style="position:absolute;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B042B1" w:rsidRDefault="00B042B1" w:rsidP="009801BB">
      <w:pPr>
        <w:jc w:val="center"/>
        <w:rPr>
          <w:rFonts w:asciiTheme="minorHAnsi" w:hAnsiTheme="minorHAnsi"/>
          <w:b/>
          <w:color w:val="000000" w:themeColor="text1"/>
          <w:sz w:val="28"/>
          <w:szCs w:val="28"/>
        </w:rPr>
      </w:pPr>
    </w:p>
    <w:p w:rsidR="009801BB" w:rsidRPr="004769B5" w:rsidRDefault="009801BB" w:rsidP="009801BB">
      <w:pPr>
        <w:jc w:val="center"/>
        <w:rPr>
          <w:rFonts w:asciiTheme="minorHAnsi" w:hAnsiTheme="minorHAnsi"/>
          <w:b/>
          <w:color w:val="000000" w:themeColor="text1"/>
          <w:sz w:val="28"/>
          <w:szCs w:val="28"/>
        </w:rPr>
      </w:pPr>
      <w:r w:rsidRPr="004769B5">
        <w:rPr>
          <w:rFonts w:asciiTheme="minorHAnsi" w:hAnsiTheme="minorHAnsi"/>
          <w:b/>
          <w:color w:val="000000" w:themeColor="text1"/>
          <w:sz w:val="28"/>
          <w:szCs w:val="28"/>
        </w:rPr>
        <w:t>ADVANCE DIRECTIVE POLICY AND PROCEDURE</w:t>
      </w:r>
    </w:p>
    <w:p w:rsidR="009801BB" w:rsidRPr="004769B5" w:rsidRDefault="009801BB" w:rsidP="009801BB">
      <w:pPr>
        <w:rPr>
          <w:rFonts w:asciiTheme="minorHAnsi" w:hAnsiTheme="minorHAnsi"/>
          <w:b/>
          <w:color w:val="000000" w:themeColor="text1"/>
          <w:szCs w:val="24"/>
        </w:rPr>
      </w:pPr>
    </w:p>
    <w:p w:rsidR="009801BB" w:rsidRPr="004769B5" w:rsidRDefault="009801BB" w:rsidP="004769B5">
      <w:pPr>
        <w:keepNext/>
        <w:tabs>
          <w:tab w:val="left" w:pos="2250"/>
          <w:tab w:val="left" w:pos="2790"/>
        </w:tabs>
        <w:outlineLvl w:val="2"/>
        <w:rPr>
          <w:rFonts w:asciiTheme="minorHAnsi" w:hAnsiTheme="minorHAnsi" w:cs="Arial"/>
          <w:b/>
          <w:color w:val="000000" w:themeColor="text1"/>
          <w:sz w:val="28"/>
          <w:szCs w:val="28"/>
        </w:rPr>
      </w:pPr>
      <w:r w:rsidRPr="004769B5">
        <w:rPr>
          <w:rFonts w:asciiTheme="minorHAnsi" w:hAnsiTheme="minorHAnsi" w:cs="Arial"/>
          <w:b/>
          <w:color w:val="000000" w:themeColor="text1"/>
          <w:sz w:val="28"/>
          <w:szCs w:val="28"/>
        </w:rPr>
        <w:t>POLICY</w:t>
      </w:r>
    </w:p>
    <w:p w:rsidR="009801BB" w:rsidRPr="004769B5" w:rsidRDefault="009801BB" w:rsidP="004769B5">
      <w:pPr>
        <w:keepNext/>
        <w:tabs>
          <w:tab w:val="left" w:pos="2250"/>
          <w:tab w:val="left" w:pos="2790"/>
        </w:tabs>
        <w:outlineLvl w:val="2"/>
        <w:rPr>
          <w:rFonts w:asciiTheme="minorHAnsi" w:hAnsiTheme="minorHAnsi" w:cs="Arial"/>
          <w:b/>
          <w:color w:val="000000" w:themeColor="text1"/>
          <w:szCs w:val="24"/>
        </w:rPr>
      </w:pPr>
    </w:p>
    <w:p w:rsidR="00B042B1" w:rsidRPr="004769B5" w:rsidRDefault="009801BB" w:rsidP="004769B5">
      <w:pPr>
        <w:keepNext/>
        <w:tabs>
          <w:tab w:val="left" w:pos="2250"/>
          <w:tab w:val="left" w:pos="2790"/>
        </w:tabs>
        <w:outlineLvl w:val="2"/>
        <w:rPr>
          <w:rFonts w:asciiTheme="minorHAnsi" w:hAnsiTheme="minorHAnsi" w:cs="Arial"/>
          <w:color w:val="000000" w:themeColor="text1"/>
          <w:szCs w:val="24"/>
        </w:rPr>
      </w:pPr>
      <w:r w:rsidRPr="004769B5">
        <w:rPr>
          <w:rFonts w:asciiTheme="minorHAnsi" w:hAnsiTheme="minorHAnsi" w:cs="Arial"/>
          <w:color w:val="000000" w:themeColor="text1"/>
          <w:szCs w:val="24"/>
        </w:rPr>
        <w:t xml:space="preserve">It is the policy of the facility to establish, implement and maintain written policies and procedures </w:t>
      </w:r>
      <w:r w:rsidR="00591D0F">
        <w:rPr>
          <w:rFonts w:asciiTheme="minorHAnsi" w:hAnsiTheme="minorHAnsi" w:cs="Arial"/>
          <w:color w:val="000000" w:themeColor="text1"/>
          <w:szCs w:val="24"/>
        </w:rPr>
        <w:t>for advance directive</w:t>
      </w:r>
      <w:r w:rsidR="00B042B1" w:rsidRPr="004769B5">
        <w:rPr>
          <w:rFonts w:asciiTheme="minorHAnsi" w:hAnsiTheme="minorHAnsi" w:cs="Arial"/>
          <w:color w:val="000000" w:themeColor="text1"/>
          <w:szCs w:val="24"/>
        </w:rPr>
        <w:t xml:space="preserve">.  The resident has the right and the facility will assist the resident to formulate an advance directive at their option.  The facility will inform and provide resident with a written description of the facility’s policy to implement advance directives and (describe items applicable by respective State law).  Resident has the right to </w:t>
      </w:r>
      <w:r w:rsidR="004769B5">
        <w:rPr>
          <w:rFonts w:asciiTheme="minorHAnsi" w:hAnsiTheme="minorHAnsi" w:cs="Arial"/>
          <w:color w:val="000000" w:themeColor="text1"/>
          <w:szCs w:val="24"/>
        </w:rPr>
        <w:t xml:space="preserve">accept, </w:t>
      </w:r>
      <w:r w:rsidR="00B042B1" w:rsidRPr="004769B5">
        <w:rPr>
          <w:rFonts w:asciiTheme="minorHAnsi" w:hAnsiTheme="minorHAnsi" w:cs="Arial"/>
          <w:color w:val="000000" w:themeColor="text1"/>
          <w:szCs w:val="24"/>
        </w:rPr>
        <w:t xml:space="preserve">request, refuse and/or discontinue </w:t>
      </w:r>
      <w:r w:rsidR="004769B5">
        <w:rPr>
          <w:rFonts w:asciiTheme="minorHAnsi" w:hAnsiTheme="minorHAnsi" w:cs="Arial"/>
          <w:color w:val="000000" w:themeColor="text1"/>
          <w:szCs w:val="24"/>
        </w:rPr>
        <w:t xml:space="preserve">medical or surgical </w:t>
      </w:r>
      <w:r w:rsidR="00B042B1" w:rsidRPr="004769B5">
        <w:rPr>
          <w:rFonts w:asciiTheme="minorHAnsi" w:hAnsiTheme="minorHAnsi" w:cs="Arial"/>
          <w:color w:val="000000" w:themeColor="text1"/>
          <w:szCs w:val="24"/>
        </w:rPr>
        <w:t>treatment and to participate in or refuse to participate in experimental research.</w:t>
      </w:r>
    </w:p>
    <w:p w:rsidR="009801BB" w:rsidRPr="004769B5" w:rsidRDefault="009801BB" w:rsidP="004769B5">
      <w:pPr>
        <w:keepNext/>
        <w:tabs>
          <w:tab w:val="left" w:pos="2250"/>
          <w:tab w:val="left" w:pos="2790"/>
        </w:tabs>
        <w:outlineLvl w:val="2"/>
        <w:rPr>
          <w:rFonts w:asciiTheme="minorHAnsi" w:hAnsiTheme="minorHAnsi" w:cs="Arial"/>
          <w:b/>
          <w:color w:val="000000" w:themeColor="text1"/>
          <w:szCs w:val="24"/>
        </w:rPr>
      </w:pPr>
    </w:p>
    <w:p w:rsidR="009801BB" w:rsidRPr="004769B5" w:rsidRDefault="009801BB" w:rsidP="004769B5">
      <w:pPr>
        <w:rPr>
          <w:rFonts w:asciiTheme="minorHAnsi" w:hAnsiTheme="minorHAnsi" w:cs="Arial"/>
          <w:color w:val="000000" w:themeColor="text1"/>
          <w:szCs w:val="24"/>
        </w:rPr>
      </w:pPr>
      <w:r w:rsidRPr="004769B5">
        <w:rPr>
          <w:rFonts w:asciiTheme="minorHAnsi" w:hAnsiTheme="minorHAnsi" w:cs="Arial"/>
          <w:color w:val="000000" w:themeColor="text1"/>
          <w:szCs w:val="24"/>
        </w:rPr>
        <w:t xml:space="preserve">                     </w:t>
      </w:r>
    </w:p>
    <w:p w:rsidR="009801BB" w:rsidRPr="004769B5" w:rsidRDefault="009801BB" w:rsidP="004769B5">
      <w:pPr>
        <w:rPr>
          <w:rFonts w:asciiTheme="minorHAnsi" w:hAnsiTheme="minorHAnsi" w:cs="Arial"/>
          <w:b/>
          <w:color w:val="000000" w:themeColor="text1"/>
          <w:sz w:val="28"/>
          <w:szCs w:val="28"/>
        </w:rPr>
      </w:pPr>
      <w:r w:rsidRPr="004769B5">
        <w:rPr>
          <w:rFonts w:asciiTheme="minorHAnsi" w:hAnsiTheme="minorHAnsi" w:cs="Arial"/>
          <w:b/>
          <w:color w:val="000000" w:themeColor="text1"/>
          <w:sz w:val="28"/>
          <w:szCs w:val="28"/>
        </w:rPr>
        <w:t xml:space="preserve">Centers for Medicaid and Medicare Services (CMS) </w:t>
      </w:r>
    </w:p>
    <w:p w:rsidR="009801BB" w:rsidRPr="004769B5" w:rsidRDefault="009801BB" w:rsidP="004769B5">
      <w:pPr>
        <w:rPr>
          <w:rFonts w:asciiTheme="minorHAnsi" w:hAnsiTheme="minorHAnsi" w:cs="Arial"/>
          <w:b/>
          <w:color w:val="000000" w:themeColor="text1"/>
          <w:szCs w:val="24"/>
        </w:rPr>
      </w:pPr>
    </w:p>
    <w:p w:rsidR="009801BB" w:rsidRDefault="009801BB" w:rsidP="004769B5">
      <w:pPr>
        <w:rPr>
          <w:rFonts w:asciiTheme="minorHAnsi" w:hAnsiTheme="minorHAnsi" w:cs="Arial"/>
          <w:b/>
          <w:color w:val="000000" w:themeColor="text1"/>
          <w:sz w:val="28"/>
          <w:szCs w:val="28"/>
        </w:rPr>
      </w:pPr>
      <w:r w:rsidRPr="004769B5">
        <w:rPr>
          <w:rFonts w:asciiTheme="minorHAnsi" w:hAnsiTheme="minorHAnsi" w:cs="Arial"/>
          <w:b/>
          <w:color w:val="000000" w:themeColor="text1"/>
          <w:sz w:val="28"/>
          <w:szCs w:val="28"/>
        </w:rPr>
        <w:t>Definitions</w:t>
      </w:r>
    </w:p>
    <w:p w:rsidR="004769B5" w:rsidRPr="004769B5" w:rsidRDefault="004769B5" w:rsidP="004769B5">
      <w:pPr>
        <w:rPr>
          <w:rFonts w:asciiTheme="minorHAnsi" w:hAnsiTheme="minorHAnsi" w:cs="Arial"/>
          <w:b/>
          <w:color w:val="000000" w:themeColor="text1"/>
          <w:sz w:val="28"/>
          <w:szCs w:val="28"/>
        </w:rPr>
      </w:pPr>
    </w:p>
    <w:p w:rsidR="004769B5" w:rsidRDefault="009801BB" w:rsidP="004769B5">
      <w:pPr>
        <w:widowControl w:val="0"/>
        <w:tabs>
          <w:tab w:val="left" w:pos="220"/>
          <w:tab w:val="left" w:pos="720"/>
        </w:tabs>
        <w:autoSpaceDE w:val="0"/>
        <w:autoSpaceDN w:val="0"/>
        <w:adjustRightInd w:val="0"/>
        <w:spacing w:after="240"/>
        <w:rPr>
          <w:rFonts w:asciiTheme="minorHAnsi" w:eastAsiaTheme="minorHAnsi" w:hAnsiTheme="minorHAnsi" w:cs="Times"/>
          <w:color w:val="000000" w:themeColor="text1"/>
          <w:szCs w:val="24"/>
        </w:rPr>
      </w:pPr>
      <w:r w:rsidRPr="004769B5">
        <w:rPr>
          <w:rFonts w:asciiTheme="minorHAnsi" w:eastAsiaTheme="minorHAnsi" w:hAnsiTheme="minorHAnsi" w:cs="Times"/>
          <w:b/>
          <w:bCs/>
          <w:iCs/>
          <w:color w:val="000000" w:themeColor="text1"/>
          <w:szCs w:val="24"/>
        </w:rPr>
        <w:t xml:space="preserve">“Advance care planning” </w:t>
      </w:r>
      <w:r w:rsidRPr="004769B5">
        <w:rPr>
          <w:rFonts w:asciiTheme="minorHAnsi" w:eastAsiaTheme="minorHAnsi" w:hAnsiTheme="minorHAnsi" w:cs="Times"/>
          <w:iCs/>
          <w:color w:val="000000" w:themeColor="text1"/>
          <w:szCs w:val="24"/>
        </w:rPr>
        <w:t>is a process used to identify and update the resident’s preferences regarding care and treatment at a future time including a situation in which the resident subsequently lacks the capacity to do so; for example, when a situation arises in which life- sustaining treatments are a potential option for care and the resident is unable to make his or her choices known.</w:t>
      </w:r>
      <w:r w:rsidRPr="004769B5">
        <w:rPr>
          <w:rFonts w:asciiTheme="minorHAnsi" w:eastAsiaTheme="minorHAnsi" w:hAnsiTheme="minorHAnsi" w:cs="Times"/>
          <w:iCs/>
          <w:color w:val="000000" w:themeColor="text1"/>
          <w:position w:val="16"/>
          <w:szCs w:val="24"/>
        </w:rPr>
        <w:t xml:space="preserve">1 </w:t>
      </w:r>
      <w:r w:rsidRPr="004769B5">
        <w:rPr>
          <w:rFonts w:ascii="MS Gothic" w:eastAsia="MS Gothic" w:hAnsi="MS Gothic" w:cs="MS Gothic" w:hint="eastAsia"/>
          <w:color w:val="000000" w:themeColor="text1"/>
          <w:szCs w:val="24"/>
        </w:rPr>
        <w:t> </w:t>
      </w:r>
    </w:p>
    <w:p w:rsidR="009801BB" w:rsidRPr="004769B5" w:rsidRDefault="004769B5" w:rsidP="004769B5">
      <w:pPr>
        <w:widowControl w:val="0"/>
        <w:tabs>
          <w:tab w:val="left" w:pos="220"/>
          <w:tab w:val="left" w:pos="720"/>
        </w:tabs>
        <w:autoSpaceDE w:val="0"/>
        <w:autoSpaceDN w:val="0"/>
        <w:adjustRightInd w:val="0"/>
        <w:spacing w:after="240"/>
        <w:rPr>
          <w:rFonts w:asciiTheme="minorHAnsi" w:eastAsiaTheme="minorHAnsi" w:hAnsiTheme="minorHAnsi" w:cs="Times"/>
          <w:color w:val="000000" w:themeColor="text1"/>
          <w:szCs w:val="24"/>
        </w:rPr>
      </w:pPr>
      <w:r>
        <w:rPr>
          <w:rFonts w:asciiTheme="minorHAnsi" w:eastAsiaTheme="minorHAnsi" w:hAnsiTheme="minorHAnsi" w:cs="Times"/>
          <w:color w:val="000000" w:themeColor="text1"/>
          <w:szCs w:val="24"/>
        </w:rPr>
        <w:lastRenderedPageBreak/>
        <w:tab/>
      </w:r>
      <w:r w:rsidR="009801BB" w:rsidRPr="004769B5">
        <w:rPr>
          <w:rFonts w:asciiTheme="minorHAnsi" w:eastAsiaTheme="minorHAnsi" w:hAnsiTheme="minorHAnsi"/>
          <w:position w:val="13"/>
          <w:sz w:val="20"/>
        </w:rPr>
        <w:t xml:space="preserve">1 </w:t>
      </w:r>
      <w:r w:rsidR="009801BB" w:rsidRPr="004769B5">
        <w:rPr>
          <w:rFonts w:asciiTheme="minorHAnsi" w:eastAsiaTheme="minorHAnsi" w:hAnsiTheme="minorHAnsi"/>
          <w:sz w:val="20"/>
        </w:rPr>
        <w:t xml:space="preserve">Adapted from: Emanuel, L.L., </w:t>
      </w:r>
      <w:proofErr w:type="spellStart"/>
      <w:r w:rsidR="009801BB" w:rsidRPr="004769B5">
        <w:rPr>
          <w:rFonts w:asciiTheme="minorHAnsi" w:eastAsiaTheme="minorHAnsi" w:hAnsiTheme="minorHAnsi"/>
          <w:sz w:val="20"/>
        </w:rPr>
        <w:t>Danis</w:t>
      </w:r>
      <w:proofErr w:type="spellEnd"/>
      <w:r w:rsidR="009801BB" w:rsidRPr="004769B5">
        <w:rPr>
          <w:rFonts w:asciiTheme="minorHAnsi" w:eastAsiaTheme="minorHAnsi" w:hAnsiTheme="minorHAnsi"/>
          <w:sz w:val="20"/>
        </w:rPr>
        <w:t>, M., Pearlman, R.A., Singer, P.A. (1995). Advance care planning as a process: structuring the discussions in practice. Journal of the American Geriatric Society, 43, 440</w:t>
      </w:r>
      <w:r w:rsidR="009801BB" w:rsidRPr="004769B5">
        <w:rPr>
          <w:rFonts w:asciiTheme="minorHAnsi" w:eastAsiaTheme="minorHAnsi" w:hAnsiTheme="minorHAnsi"/>
          <w:sz w:val="20"/>
        </w:rPr>
        <w:softHyphen/>
        <w:t xml:space="preserve">6. </w:t>
      </w:r>
    </w:p>
    <w:p w:rsidR="009801BB" w:rsidRPr="004769B5" w:rsidRDefault="009801BB" w:rsidP="004769B5">
      <w:pPr>
        <w:widowControl w:val="0"/>
        <w:autoSpaceDE w:val="0"/>
        <w:autoSpaceDN w:val="0"/>
        <w:adjustRightInd w:val="0"/>
        <w:spacing w:after="240"/>
        <w:rPr>
          <w:rFonts w:asciiTheme="minorHAnsi" w:eastAsiaTheme="minorHAnsi" w:hAnsiTheme="minorHAnsi" w:cs="Times"/>
          <w:color w:val="000000" w:themeColor="text1"/>
          <w:szCs w:val="24"/>
        </w:rPr>
      </w:pPr>
      <w:r w:rsidRPr="004769B5">
        <w:rPr>
          <w:rFonts w:asciiTheme="minorHAnsi" w:eastAsiaTheme="minorHAnsi" w:hAnsiTheme="minorHAnsi" w:cs="Times"/>
          <w:b/>
          <w:bCs/>
          <w:iCs/>
          <w:color w:val="000000" w:themeColor="text1"/>
          <w:szCs w:val="24"/>
        </w:rPr>
        <w:t xml:space="preserve">“Advance directive” </w:t>
      </w:r>
      <w:r w:rsidRPr="004769B5">
        <w:rPr>
          <w:rFonts w:asciiTheme="minorHAnsi" w:eastAsiaTheme="minorHAnsi" w:hAnsiTheme="minorHAnsi" w:cs="Times"/>
          <w:iCs/>
          <w:color w:val="000000" w:themeColor="text1"/>
          <w:szCs w:val="24"/>
        </w:rPr>
        <w:t>means, according to 42 C.F.R. §489.100, a written instruction, such as a living will or durable power of attorney for health care, recognized under State law (whether statutory or as recognized by the courts of the State), relating to the provision of health care when the individual is incapaci</w:t>
      </w:r>
      <w:r w:rsidR="007560D4">
        <w:rPr>
          <w:rFonts w:asciiTheme="minorHAnsi" w:eastAsiaTheme="minorHAnsi" w:hAnsiTheme="minorHAnsi" w:cs="Times"/>
          <w:iCs/>
          <w:color w:val="000000" w:themeColor="text1"/>
          <w:szCs w:val="24"/>
        </w:rPr>
        <w:t xml:space="preserve">tated. </w:t>
      </w:r>
      <w:r w:rsidRPr="004769B5">
        <w:rPr>
          <w:rFonts w:asciiTheme="minorHAnsi" w:eastAsiaTheme="minorHAnsi" w:hAnsiTheme="minorHAnsi" w:cs="Times"/>
          <w:iCs/>
          <w:color w:val="000000" w:themeColor="text1"/>
          <w:szCs w:val="24"/>
        </w:rPr>
        <w:t xml:space="preserve"> </w:t>
      </w:r>
    </w:p>
    <w:p w:rsidR="009801BB" w:rsidRPr="004769B5" w:rsidRDefault="009801BB" w:rsidP="004769B5">
      <w:pPr>
        <w:widowControl w:val="0"/>
        <w:autoSpaceDE w:val="0"/>
        <w:autoSpaceDN w:val="0"/>
        <w:adjustRightInd w:val="0"/>
        <w:spacing w:after="240"/>
        <w:rPr>
          <w:rFonts w:asciiTheme="minorHAnsi" w:eastAsiaTheme="minorHAnsi" w:hAnsiTheme="minorHAnsi" w:cs="Times"/>
          <w:color w:val="000000" w:themeColor="text1"/>
          <w:szCs w:val="24"/>
        </w:rPr>
      </w:pPr>
      <w:r w:rsidRPr="004769B5">
        <w:rPr>
          <w:rFonts w:asciiTheme="minorHAnsi" w:eastAsiaTheme="minorHAnsi" w:hAnsiTheme="minorHAnsi" w:cs="Times"/>
          <w:b/>
          <w:bCs/>
          <w:iCs/>
          <w:color w:val="000000" w:themeColor="text1"/>
          <w:szCs w:val="24"/>
        </w:rPr>
        <w:t xml:space="preserve">“Cardiopulmonary resuscitation (CPR)” </w:t>
      </w:r>
      <w:r w:rsidRPr="004769B5">
        <w:rPr>
          <w:rFonts w:asciiTheme="minorHAnsi" w:eastAsiaTheme="minorHAnsi" w:hAnsiTheme="minorHAnsi" w:cs="Times"/>
          <w:iCs/>
          <w:color w:val="000000" w:themeColor="text1"/>
          <w:szCs w:val="24"/>
        </w:rPr>
        <w:t xml:space="preserve">refers to any medical intervention used to restore circulatory and/or respiratory function that has ceased. </w:t>
      </w:r>
    </w:p>
    <w:p w:rsidR="009801BB" w:rsidRDefault="009801BB" w:rsidP="004769B5">
      <w:pPr>
        <w:widowControl w:val="0"/>
        <w:autoSpaceDE w:val="0"/>
        <w:autoSpaceDN w:val="0"/>
        <w:adjustRightInd w:val="0"/>
        <w:spacing w:after="240"/>
        <w:rPr>
          <w:rFonts w:asciiTheme="minorHAnsi" w:eastAsiaTheme="minorHAnsi" w:hAnsiTheme="minorHAnsi" w:cs="Times"/>
          <w:iCs/>
          <w:color w:val="000000" w:themeColor="text1"/>
          <w:szCs w:val="24"/>
        </w:rPr>
      </w:pPr>
      <w:r w:rsidRPr="004769B5">
        <w:rPr>
          <w:rFonts w:asciiTheme="minorHAnsi" w:eastAsiaTheme="minorHAnsi" w:hAnsiTheme="minorHAnsi" w:cs="Times"/>
          <w:b/>
          <w:bCs/>
          <w:iCs/>
          <w:color w:val="000000" w:themeColor="text1"/>
          <w:szCs w:val="24"/>
        </w:rPr>
        <w:t xml:space="preserve">“Durable Power of Attorney for Health Care” (a.k.a. “Medical Power of Attorney”) </w:t>
      </w:r>
      <w:r w:rsidRPr="004769B5">
        <w:rPr>
          <w:rFonts w:asciiTheme="minorHAnsi" w:eastAsiaTheme="minorHAnsi" w:hAnsiTheme="minorHAnsi" w:cs="Times"/>
          <w:iCs/>
          <w:color w:val="000000" w:themeColor="text1"/>
          <w:szCs w:val="24"/>
        </w:rPr>
        <w:t xml:space="preserve">is a document delegating to an agent the authority to make health care decisions in case the individual delegating that authority subsequently becomes incapable of doing so. </w:t>
      </w:r>
    </w:p>
    <w:p w:rsidR="00591D0F" w:rsidRPr="004769B5" w:rsidRDefault="00591D0F" w:rsidP="004769B5">
      <w:pPr>
        <w:widowControl w:val="0"/>
        <w:autoSpaceDE w:val="0"/>
        <w:autoSpaceDN w:val="0"/>
        <w:adjustRightInd w:val="0"/>
        <w:spacing w:after="240"/>
        <w:rPr>
          <w:rFonts w:asciiTheme="minorHAnsi" w:eastAsiaTheme="minorHAnsi" w:hAnsiTheme="minorHAnsi" w:cs="Times"/>
          <w:color w:val="000000" w:themeColor="text1"/>
          <w:szCs w:val="24"/>
        </w:rPr>
      </w:pPr>
    </w:p>
    <w:p w:rsidR="009801BB" w:rsidRPr="004769B5" w:rsidRDefault="009801BB" w:rsidP="004769B5">
      <w:pPr>
        <w:widowControl w:val="0"/>
        <w:autoSpaceDE w:val="0"/>
        <w:autoSpaceDN w:val="0"/>
        <w:adjustRightInd w:val="0"/>
        <w:spacing w:after="240"/>
        <w:rPr>
          <w:rFonts w:asciiTheme="minorHAnsi" w:eastAsiaTheme="minorHAnsi" w:hAnsiTheme="minorHAnsi" w:cs="Times"/>
          <w:color w:val="000000" w:themeColor="text1"/>
          <w:szCs w:val="24"/>
        </w:rPr>
      </w:pPr>
      <w:r w:rsidRPr="004769B5">
        <w:rPr>
          <w:rFonts w:asciiTheme="minorHAnsi" w:eastAsiaTheme="minorHAnsi" w:hAnsiTheme="minorHAnsi" w:cs="Times"/>
          <w:b/>
          <w:bCs/>
          <w:iCs/>
          <w:color w:val="000000" w:themeColor="text1"/>
          <w:szCs w:val="24"/>
        </w:rPr>
        <w:t xml:space="preserve">“Health care decision-making” </w:t>
      </w:r>
      <w:r w:rsidRPr="004769B5">
        <w:rPr>
          <w:rFonts w:asciiTheme="minorHAnsi" w:eastAsiaTheme="minorHAnsi" w:hAnsiTheme="minorHAnsi" w:cs="Times"/>
          <w:iCs/>
          <w:color w:val="000000" w:themeColor="text1"/>
          <w:szCs w:val="24"/>
        </w:rPr>
        <w:t xml:space="preserve">refers to consent, refusal to consent, or withdrawal of consent to health care, treatment, service, or a procedure to maintain, diagnose, or treat an individual’ s physical or mental condition. </w:t>
      </w:r>
    </w:p>
    <w:p w:rsidR="009801BB" w:rsidRPr="004769B5" w:rsidRDefault="009801BB" w:rsidP="004769B5">
      <w:pPr>
        <w:widowControl w:val="0"/>
        <w:autoSpaceDE w:val="0"/>
        <w:autoSpaceDN w:val="0"/>
        <w:adjustRightInd w:val="0"/>
        <w:spacing w:after="240"/>
        <w:rPr>
          <w:rFonts w:asciiTheme="minorHAnsi" w:eastAsiaTheme="minorHAnsi" w:hAnsiTheme="minorHAnsi" w:cs="Times"/>
          <w:color w:val="000000" w:themeColor="text1"/>
          <w:szCs w:val="24"/>
        </w:rPr>
      </w:pPr>
      <w:r w:rsidRPr="004769B5">
        <w:rPr>
          <w:rFonts w:asciiTheme="minorHAnsi" w:eastAsiaTheme="minorHAnsi" w:hAnsiTheme="minorHAnsi" w:cs="Times"/>
          <w:b/>
          <w:bCs/>
          <w:iCs/>
          <w:color w:val="000000" w:themeColor="text1"/>
          <w:szCs w:val="24"/>
        </w:rPr>
        <w:t xml:space="preserve">“Health care decision-making capacity” </w:t>
      </w:r>
      <w:r w:rsidRPr="004769B5">
        <w:rPr>
          <w:rFonts w:asciiTheme="minorHAnsi" w:eastAsiaTheme="minorHAnsi" w:hAnsiTheme="minorHAnsi" w:cs="Times"/>
          <w:iCs/>
          <w:color w:val="000000" w:themeColor="text1"/>
          <w:szCs w:val="24"/>
        </w:rPr>
        <w:t xml:space="preserve">refers to possessing the ability (as defined by State law) to make decisions regarding health care and related treatment choices. </w:t>
      </w:r>
    </w:p>
    <w:p w:rsidR="009801BB" w:rsidRPr="004769B5" w:rsidRDefault="009801BB" w:rsidP="004769B5">
      <w:pPr>
        <w:widowControl w:val="0"/>
        <w:autoSpaceDE w:val="0"/>
        <w:autoSpaceDN w:val="0"/>
        <w:adjustRightInd w:val="0"/>
        <w:spacing w:after="240"/>
        <w:rPr>
          <w:rFonts w:asciiTheme="minorHAnsi" w:eastAsiaTheme="minorHAnsi" w:hAnsiTheme="minorHAnsi" w:cs="Times"/>
          <w:color w:val="000000" w:themeColor="text1"/>
          <w:szCs w:val="24"/>
        </w:rPr>
      </w:pPr>
      <w:r w:rsidRPr="004769B5">
        <w:rPr>
          <w:rFonts w:asciiTheme="minorHAnsi" w:eastAsiaTheme="minorHAnsi" w:hAnsiTheme="minorHAnsi" w:cs="Times"/>
          <w:b/>
          <w:bCs/>
          <w:iCs/>
          <w:color w:val="000000" w:themeColor="text1"/>
          <w:szCs w:val="24"/>
        </w:rPr>
        <w:lastRenderedPageBreak/>
        <w:t xml:space="preserve">“Life-sustaining treatment” </w:t>
      </w:r>
      <w:r w:rsidRPr="004769B5">
        <w:rPr>
          <w:rFonts w:asciiTheme="minorHAnsi" w:eastAsiaTheme="minorHAnsi" w:hAnsiTheme="minorHAnsi" w:cs="Times"/>
          <w:iCs/>
          <w:color w:val="000000" w:themeColor="text1"/>
          <w:szCs w:val="24"/>
        </w:rPr>
        <w:t>is treatment that, based on reasonable medical judgment, sustains an individual’ s life and without which the individual will die. The term includes both life- sustaining medications and interventions such as mechanical ventilation, kidney dialysis, and artificial hydration and nutrition. The term does not include the administration of pain medication or other pain management interventions, the performance of a medical procedure related to enhancing comfort, or any other medical care provided to alleviate a resident’ s pain.</w:t>
      </w:r>
      <w:r w:rsidRPr="004769B5">
        <w:rPr>
          <w:rFonts w:asciiTheme="minorHAnsi" w:eastAsiaTheme="minorHAnsi" w:hAnsiTheme="minorHAnsi" w:cs="Times"/>
          <w:iCs/>
          <w:color w:val="000000" w:themeColor="text1"/>
          <w:position w:val="16"/>
          <w:szCs w:val="24"/>
        </w:rPr>
        <w:t xml:space="preserve"> </w:t>
      </w:r>
    </w:p>
    <w:p w:rsidR="009801BB" w:rsidRPr="004769B5" w:rsidRDefault="009801BB" w:rsidP="004769B5">
      <w:pPr>
        <w:widowControl w:val="0"/>
        <w:autoSpaceDE w:val="0"/>
        <w:autoSpaceDN w:val="0"/>
        <w:adjustRightInd w:val="0"/>
        <w:spacing w:after="240"/>
        <w:rPr>
          <w:rFonts w:asciiTheme="minorHAnsi" w:eastAsiaTheme="minorHAnsi" w:hAnsiTheme="minorHAnsi" w:cs="Times"/>
          <w:color w:val="000000" w:themeColor="text1"/>
          <w:szCs w:val="24"/>
        </w:rPr>
      </w:pPr>
      <w:r w:rsidRPr="004769B5">
        <w:rPr>
          <w:rFonts w:asciiTheme="minorHAnsi" w:eastAsiaTheme="minorHAnsi" w:hAnsiTheme="minorHAnsi" w:cs="Times"/>
          <w:b/>
          <w:bCs/>
          <w:iCs/>
          <w:color w:val="000000" w:themeColor="text1"/>
          <w:szCs w:val="24"/>
        </w:rPr>
        <w:t xml:space="preserve">“Legal representative” (e.g., “Agent,” “Attorney in fact,” “Proxy,” “Substitute decision- maker,” “Surrogate decision-maker”) </w:t>
      </w:r>
      <w:r w:rsidRPr="004769B5">
        <w:rPr>
          <w:rFonts w:asciiTheme="minorHAnsi" w:eastAsiaTheme="minorHAnsi" w:hAnsiTheme="minorHAnsi" w:cs="Times"/>
          <w:iCs/>
          <w:color w:val="000000" w:themeColor="text1"/>
          <w:szCs w:val="24"/>
        </w:rPr>
        <w:t xml:space="preserve">is a person designated and authorized by an advance directive or by State law to make a treatment decision for another person in the event the other person becomes unable to make necessary health care decisions. </w:t>
      </w:r>
    </w:p>
    <w:p w:rsidR="009801BB" w:rsidRPr="004769B5" w:rsidRDefault="009801BB" w:rsidP="004769B5">
      <w:pPr>
        <w:widowControl w:val="0"/>
        <w:autoSpaceDE w:val="0"/>
        <w:autoSpaceDN w:val="0"/>
        <w:adjustRightInd w:val="0"/>
        <w:spacing w:after="240"/>
        <w:rPr>
          <w:rFonts w:asciiTheme="minorHAnsi" w:eastAsiaTheme="minorHAnsi" w:hAnsiTheme="minorHAnsi" w:cs="Times"/>
          <w:iCs/>
          <w:color w:val="000000" w:themeColor="text1"/>
          <w:szCs w:val="24"/>
        </w:rPr>
      </w:pPr>
      <w:r w:rsidRPr="004769B5">
        <w:rPr>
          <w:rFonts w:asciiTheme="minorHAnsi" w:eastAsiaTheme="minorHAnsi" w:hAnsiTheme="minorHAnsi" w:cs="Times"/>
          <w:b/>
          <w:bCs/>
          <w:iCs/>
          <w:color w:val="000000" w:themeColor="text1"/>
          <w:szCs w:val="24"/>
        </w:rPr>
        <w:t xml:space="preserve">“Treatment” </w:t>
      </w:r>
      <w:r w:rsidRPr="004769B5">
        <w:rPr>
          <w:rFonts w:asciiTheme="minorHAnsi" w:eastAsiaTheme="minorHAnsi" w:hAnsiTheme="minorHAnsi" w:cs="Times"/>
          <w:iCs/>
          <w:color w:val="000000" w:themeColor="text1"/>
          <w:szCs w:val="24"/>
        </w:rPr>
        <w:t xml:space="preserve">refers to interventions provided for purposes of maintaining/restoring health and well-being, improving functional level, or relieving symptoms. </w:t>
      </w:r>
    </w:p>
    <w:p w:rsidR="004769B5" w:rsidRPr="004769B5" w:rsidRDefault="004769B5" w:rsidP="004769B5">
      <w:pPr>
        <w:rPr>
          <w:rFonts w:asciiTheme="minorHAnsi" w:hAnsiTheme="minorHAnsi" w:cs="Tahoma"/>
          <w:szCs w:val="24"/>
        </w:rPr>
      </w:pPr>
    </w:p>
    <w:p w:rsidR="009801BB" w:rsidRPr="004769B5" w:rsidRDefault="009801BB" w:rsidP="004769B5">
      <w:pPr>
        <w:widowControl w:val="0"/>
        <w:tabs>
          <w:tab w:val="left" w:pos="220"/>
          <w:tab w:val="left" w:pos="720"/>
        </w:tabs>
        <w:autoSpaceDE w:val="0"/>
        <w:autoSpaceDN w:val="0"/>
        <w:adjustRightInd w:val="0"/>
        <w:spacing w:after="240"/>
        <w:rPr>
          <w:rFonts w:asciiTheme="minorHAnsi" w:eastAsiaTheme="minorHAnsi" w:hAnsiTheme="minorHAnsi" w:cs="Times"/>
          <w:szCs w:val="24"/>
        </w:rPr>
      </w:pPr>
      <w:r w:rsidRPr="004769B5">
        <w:rPr>
          <w:rFonts w:asciiTheme="minorHAnsi" w:hAnsiTheme="minorHAnsi"/>
          <w:b/>
          <w:szCs w:val="24"/>
        </w:rPr>
        <w:t>OBJECTIVE OF ADVANCE DIRECTIVE POLICY AND PROCEDURE</w:t>
      </w:r>
    </w:p>
    <w:p w:rsidR="009801BB" w:rsidRPr="004769B5" w:rsidRDefault="009801BB" w:rsidP="004769B5">
      <w:pPr>
        <w:rPr>
          <w:rFonts w:asciiTheme="minorHAnsi" w:hAnsiTheme="minorHAnsi"/>
          <w:szCs w:val="24"/>
        </w:rPr>
      </w:pPr>
      <w:r w:rsidRPr="004769B5">
        <w:rPr>
          <w:rFonts w:asciiTheme="minorHAnsi" w:hAnsiTheme="minorHAnsi"/>
          <w:szCs w:val="24"/>
        </w:rPr>
        <w:t>The objective for this requirement is to estab</w:t>
      </w:r>
      <w:r w:rsidR="00611CB6" w:rsidRPr="004769B5">
        <w:rPr>
          <w:rFonts w:asciiTheme="minorHAnsi" w:hAnsiTheme="minorHAnsi"/>
          <w:szCs w:val="24"/>
        </w:rPr>
        <w:t>lish a policy and procedure for the facility to educate and</w:t>
      </w:r>
      <w:r w:rsidRPr="004769B5">
        <w:rPr>
          <w:rFonts w:asciiTheme="minorHAnsi" w:hAnsiTheme="minorHAnsi"/>
          <w:szCs w:val="24"/>
        </w:rPr>
        <w:t xml:space="preserve"> </w:t>
      </w:r>
      <w:r w:rsidR="001234E5" w:rsidRPr="004769B5">
        <w:rPr>
          <w:rFonts w:asciiTheme="minorHAnsi" w:hAnsiTheme="minorHAnsi"/>
          <w:szCs w:val="24"/>
        </w:rPr>
        <w:t>inform</w:t>
      </w:r>
      <w:r w:rsidR="00611CB6" w:rsidRPr="004769B5">
        <w:rPr>
          <w:rFonts w:asciiTheme="minorHAnsi" w:hAnsiTheme="minorHAnsi"/>
          <w:szCs w:val="24"/>
        </w:rPr>
        <w:t xml:space="preserve"> the resident of their rights, promoting the</w:t>
      </w:r>
      <w:r w:rsidRPr="004769B5">
        <w:rPr>
          <w:rFonts w:asciiTheme="minorHAnsi" w:hAnsiTheme="minorHAnsi"/>
          <w:szCs w:val="24"/>
        </w:rPr>
        <w:t xml:space="preserve"> resident</w:t>
      </w:r>
      <w:r w:rsidR="00611CB6" w:rsidRPr="004769B5">
        <w:rPr>
          <w:rFonts w:asciiTheme="minorHAnsi" w:hAnsiTheme="minorHAnsi"/>
          <w:szCs w:val="24"/>
        </w:rPr>
        <w:t xml:space="preserve"> their right</w:t>
      </w:r>
      <w:r w:rsidRPr="004769B5">
        <w:rPr>
          <w:rFonts w:asciiTheme="minorHAnsi" w:hAnsiTheme="minorHAnsi"/>
          <w:szCs w:val="24"/>
        </w:rPr>
        <w:t xml:space="preserve"> to</w:t>
      </w:r>
      <w:r w:rsidR="001234E5" w:rsidRPr="004769B5">
        <w:rPr>
          <w:rFonts w:asciiTheme="minorHAnsi" w:hAnsiTheme="minorHAnsi"/>
          <w:szCs w:val="24"/>
        </w:rPr>
        <w:t xml:space="preserve"> accept or</w:t>
      </w:r>
      <w:r w:rsidRPr="004769B5">
        <w:rPr>
          <w:rFonts w:asciiTheme="minorHAnsi" w:hAnsiTheme="minorHAnsi"/>
          <w:szCs w:val="24"/>
        </w:rPr>
        <w:t xml:space="preserve"> refuse medical or surgical treatment, refuse to participate in experimental research, and to formulate an advance directive in assisting the resident to exercise his/her rights.</w:t>
      </w:r>
      <w:r w:rsidR="0097400C" w:rsidRPr="004769B5">
        <w:rPr>
          <w:rFonts w:asciiTheme="minorHAnsi" w:hAnsiTheme="minorHAnsi"/>
          <w:szCs w:val="24"/>
        </w:rPr>
        <w:t xml:space="preserve">  Resident choices will be incorporated into treatment, care and services.</w:t>
      </w:r>
    </w:p>
    <w:p w:rsidR="009801BB" w:rsidRPr="004769B5" w:rsidRDefault="009801BB" w:rsidP="004769B5">
      <w:pPr>
        <w:tabs>
          <w:tab w:val="num" w:pos="630"/>
        </w:tabs>
        <w:rPr>
          <w:rFonts w:asciiTheme="minorHAnsi" w:hAnsiTheme="minorHAnsi"/>
          <w:szCs w:val="24"/>
        </w:rPr>
      </w:pPr>
    </w:p>
    <w:p w:rsidR="004769B5" w:rsidRPr="004769B5" w:rsidRDefault="004769B5" w:rsidP="004769B5">
      <w:pPr>
        <w:tabs>
          <w:tab w:val="num" w:pos="630"/>
        </w:tabs>
        <w:rPr>
          <w:rFonts w:asciiTheme="minorHAnsi" w:hAnsiTheme="minorHAnsi"/>
          <w:szCs w:val="24"/>
        </w:rPr>
      </w:pPr>
    </w:p>
    <w:p w:rsidR="009801BB" w:rsidRPr="004769B5" w:rsidRDefault="00B042B1" w:rsidP="004769B5">
      <w:pPr>
        <w:tabs>
          <w:tab w:val="num" w:pos="630"/>
        </w:tabs>
        <w:rPr>
          <w:rFonts w:asciiTheme="minorHAnsi" w:hAnsiTheme="minorHAnsi"/>
          <w:b/>
          <w:szCs w:val="24"/>
        </w:rPr>
      </w:pPr>
      <w:r w:rsidRPr="004769B5">
        <w:rPr>
          <w:rFonts w:asciiTheme="minorHAnsi" w:hAnsiTheme="minorHAnsi"/>
          <w:b/>
          <w:szCs w:val="24"/>
        </w:rPr>
        <w:lastRenderedPageBreak/>
        <w:t>PROCEDURE</w:t>
      </w:r>
    </w:p>
    <w:p w:rsidR="009801BB" w:rsidRPr="004769B5" w:rsidRDefault="009801BB" w:rsidP="004769B5">
      <w:pPr>
        <w:tabs>
          <w:tab w:val="num" w:pos="630"/>
        </w:tabs>
        <w:rPr>
          <w:rFonts w:asciiTheme="minorHAnsi" w:eastAsiaTheme="minorHAnsi" w:hAnsiTheme="minorHAnsi"/>
          <w:b/>
          <w:szCs w:val="24"/>
        </w:rPr>
      </w:pPr>
    </w:p>
    <w:p w:rsidR="006C781E" w:rsidRDefault="00B042B1" w:rsidP="00DA1439">
      <w:pPr>
        <w:pStyle w:val="ListParagraph"/>
        <w:numPr>
          <w:ilvl w:val="0"/>
          <w:numId w:val="26"/>
        </w:numPr>
        <w:rPr>
          <w:rFonts w:asciiTheme="minorHAnsi" w:eastAsiaTheme="minorHAnsi" w:hAnsiTheme="minorHAnsi"/>
          <w:szCs w:val="24"/>
        </w:rPr>
      </w:pPr>
      <w:r w:rsidRPr="00DA1439">
        <w:rPr>
          <w:rFonts w:asciiTheme="minorHAnsi" w:eastAsiaTheme="minorHAnsi" w:hAnsiTheme="minorHAnsi"/>
          <w:szCs w:val="24"/>
        </w:rPr>
        <w:t>Upon admission, identify if the resident has</w:t>
      </w:r>
      <w:r w:rsidR="009801BB" w:rsidRPr="00DA1439">
        <w:rPr>
          <w:rFonts w:asciiTheme="minorHAnsi" w:eastAsiaTheme="minorHAnsi" w:hAnsiTheme="minorHAnsi"/>
          <w:szCs w:val="24"/>
        </w:rPr>
        <w:t xml:space="preserve"> an advance directive and if not</w:t>
      </w:r>
      <w:r w:rsidR="006C781E" w:rsidRPr="00DA1439">
        <w:rPr>
          <w:rFonts w:asciiTheme="minorHAnsi" w:eastAsiaTheme="minorHAnsi" w:hAnsiTheme="minorHAnsi"/>
          <w:szCs w:val="24"/>
        </w:rPr>
        <w:t>,</w:t>
      </w:r>
      <w:r w:rsidR="009801BB" w:rsidRPr="00DA1439">
        <w:rPr>
          <w:rFonts w:asciiTheme="minorHAnsi" w:eastAsiaTheme="minorHAnsi" w:hAnsiTheme="minorHAnsi"/>
          <w:szCs w:val="24"/>
        </w:rPr>
        <w:t xml:space="preserve"> determine if the resident wishes to formulate an advance directive.</w:t>
      </w:r>
      <w:r w:rsidR="0037305D" w:rsidRPr="00DA1439">
        <w:rPr>
          <w:rFonts w:asciiTheme="minorHAnsi" w:eastAsiaTheme="minorHAnsi" w:hAnsiTheme="minorHAnsi"/>
          <w:szCs w:val="24"/>
        </w:rPr>
        <w:t xml:space="preserve">  A resident has the option to execute an advance directive but will not be required to do so.  The facility will not discriminate against a resident based on whether he or she has executed an advance directive.</w:t>
      </w:r>
    </w:p>
    <w:p w:rsidR="006A1A9E" w:rsidRDefault="006A1A9E" w:rsidP="00DA1439">
      <w:pPr>
        <w:pStyle w:val="ListParagraph"/>
        <w:numPr>
          <w:ilvl w:val="0"/>
          <w:numId w:val="26"/>
        </w:numPr>
        <w:rPr>
          <w:rFonts w:asciiTheme="minorHAnsi" w:eastAsiaTheme="minorHAnsi" w:hAnsiTheme="minorHAnsi"/>
          <w:szCs w:val="24"/>
        </w:rPr>
      </w:pPr>
      <w:r>
        <w:rPr>
          <w:rFonts w:asciiTheme="minorHAnsi" w:eastAsiaTheme="minorHAnsi" w:hAnsiTheme="minorHAnsi"/>
          <w:color w:val="FF0000"/>
          <w:szCs w:val="24"/>
        </w:rPr>
        <w:t>In accordance with KAR 28-39-148(j), at the time of admission, the adult care home shall inform the resident or legal representative in writing of the state statutes (KSA 58-625-632</w:t>
      </w:r>
      <w:r w:rsidR="00BF50C8">
        <w:rPr>
          <w:rFonts w:asciiTheme="minorHAnsi" w:eastAsiaTheme="minorHAnsi" w:hAnsiTheme="minorHAnsi"/>
          <w:color w:val="FF0000"/>
          <w:szCs w:val="24"/>
        </w:rPr>
        <w:t>)</w:t>
      </w:r>
      <w:r>
        <w:rPr>
          <w:rFonts w:asciiTheme="minorHAnsi" w:eastAsiaTheme="minorHAnsi" w:hAnsiTheme="minorHAnsi"/>
          <w:color w:val="FF0000"/>
          <w:szCs w:val="24"/>
        </w:rPr>
        <w:t xml:space="preserve"> related to advance medical directives.  </w:t>
      </w:r>
    </w:p>
    <w:p w:rsidR="00591D0F" w:rsidRPr="00DA1439" w:rsidRDefault="00591D0F" w:rsidP="00591D0F">
      <w:pPr>
        <w:pStyle w:val="ListParagraph"/>
        <w:rPr>
          <w:rFonts w:asciiTheme="minorHAnsi" w:eastAsiaTheme="minorHAnsi" w:hAnsiTheme="minorHAnsi"/>
          <w:szCs w:val="24"/>
        </w:rPr>
      </w:pPr>
    </w:p>
    <w:p w:rsidR="006C781E" w:rsidRPr="004769B5" w:rsidRDefault="006A1A9E" w:rsidP="00DA1439">
      <w:pPr>
        <w:pStyle w:val="ListParagraph"/>
        <w:numPr>
          <w:ilvl w:val="0"/>
          <w:numId w:val="26"/>
        </w:numPr>
        <w:rPr>
          <w:rFonts w:asciiTheme="minorHAnsi" w:eastAsiaTheme="minorHAnsi" w:hAnsiTheme="minorHAnsi"/>
          <w:szCs w:val="24"/>
        </w:rPr>
      </w:pPr>
      <w:r>
        <w:rPr>
          <w:rFonts w:asciiTheme="minorHAnsi" w:eastAsiaTheme="minorHAnsi" w:hAnsiTheme="minorHAnsi"/>
          <w:color w:val="FF0000"/>
          <w:szCs w:val="24"/>
        </w:rPr>
        <w:t xml:space="preserve">Directives recognized by the state of Kansas include:  Durable Power of Attorney for Healthcare Decisions (DPOA-HC), Living Will and Do Not Resuscitate (DNR) Directive. </w:t>
      </w:r>
      <w:r w:rsidR="006C781E" w:rsidRPr="004769B5">
        <w:rPr>
          <w:rFonts w:asciiTheme="minorHAnsi" w:eastAsiaTheme="minorHAnsi" w:hAnsiTheme="minorHAnsi"/>
          <w:szCs w:val="24"/>
        </w:rPr>
        <w:t xml:space="preserve">  </w:t>
      </w:r>
    </w:p>
    <w:p w:rsidR="0037305D" w:rsidRPr="004769B5" w:rsidRDefault="0037305D" w:rsidP="004769B5">
      <w:pPr>
        <w:rPr>
          <w:rFonts w:asciiTheme="minorHAnsi" w:eastAsiaTheme="minorHAnsi" w:hAnsiTheme="minorHAnsi"/>
          <w:szCs w:val="24"/>
        </w:rPr>
      </w:pPr>
    </w:p>
    <w:p w:rsidR="00B042B1" w:rsidRPr="00DA1439" w:rsidRDefault="006C781E" w:rsidP="00DA1439">
      <w:pPr>
        <w:pStyle w:val="ListParagraph"/>
        <w:numPr>
          <w:ilvl w:val="0"/>
          <w:numId w:val="26"/>
        </w:numPr>
        <w:rPr>
          <w:rFonts w:asciiTheme="minorHAnsi" w:eastAsiaTheme="minorHAnsi" w:hAnsiTheme="minorHAnsi"/>
          <w:szCs w:val="24"/>
        </w:rPr>
      </w:pPr>
      <w:r w:rsidRPr="00DA1439">
        <w:rPr>
          <w:rFonts w:asciiTheme="minorHAnsi" w:eastAsiaTheme="minorHAnsi" w:hAnsiTheme="minorHAnsi"/>
          <w:szCs w:val="24"/>
        </w:rPr>
        <w:t>Facility staff will p</w:t>
      </w:r>
      <w:r w:rsidR="00ED101C" w:rsidRPr="00DA1439">
        <w:rPr>
          <w:rFonts w:asciiTheme="minorHAnsi" w:eastAsiaTheme="minorHAnsi" w:hAnsiTheme="minorHAnsi"/>
          <w:szCs w:val="24"/>
        </w:rPr>
        <w:t xml:space="preserve">rovide the resident and/or resident representative with written description of the facility’s policies to implement an advance directive.  </w:t>
      </w:r>
      <w:r w:rsidR="00B042B1" w:rsidRPr="00DA1439">
        <w:rPr>
          <w:rFonts w:asciiTheme="minorHAnsi" w:eastAsiaTheme="minorHAnsi" w:hAnsiTheme="minorHAnsi"/>
          <w:szCs w:val="24"/>
        </w:rPr>
        <w:t xml:space="preserve"> </w:t>
      </w:r>
      <w:r w:rsidR="00F84583" w:rsidRPr="00DA1439">
        <w:rPr>
          <w:rFonts w:asciiTheme="minorHAnsi" w:eastAsiaTheme="minorHAnsi" w:hAnsiTheme="minorHAnsi"/>
          <w:szCs w:val="24"/>
        </w:rPr>
        <w:t>(Facilities are permitted to contract with other entities to furnish this information but are still legally responsible for ensuring that the requirements are met).</w:t>
      </w:r>
      <w:r w:rsidR="00ED101C" w:rsidRPr="00DA1439">
        <w:rPr>
          <w:rFonts w:asciiTheme="minorHAnsi" w:eastAsiaTheme="minorHAnsi" w:hAnsiTheme="minorHAnsi"/>
          <w:szCs w:val="24"/>
        </w:rPr>
        <w:t xml:space="preserve">  The facility will identify the primary decision-maker (e.g. assess the resident’s decision-making capacity and identify or arrange for an appropriate legal representative for the resident assessed as unable to make relevant health care decisions).</w:t>
      </w:r>
    </w:p>
    <w:p w:rsidR="00B042B1" w:rsidRPr="00DA1439" w:rsidRDefault="00B042B1" w:rsidP="00DA1439">
      <w:pPr>
        <w:pStyle w:val="ListParagraph"/>
        <w:numPr>
          <w:ilvl w:val="1"/>
          <w:numId w:val="26"/>
        </w:numPr>
        <w:rPr>
          <w:rFonts w:asciiTheme="minorHAnsi" w:eastAsiaTheme="minorHAnsi" w:hAnsiTheme="minorHAnsi"/>
          <w:szCs w:val="24"/>
        </w:rPr>
      </w:pPr>
      <w:r w:rsidRPr="00DA1439">
        <w:rPr>
          <w:rFonts w:asciiTheme="minorHAnsi" w:eastAsiaTheme="minorHAnsi" w:hAnsiTheme="minorHAnsi"/>
          <w:szCs w:val="24"/>
        </w:rPr>
        <w:t xml:space="preserve">If an adult individual is incapacitated at the time of admission and is unable to receive information or articulate whether or not he or she has executed an advance directive, the facility </w:t>
      </w:r>
      <w:r w:rsidR="00611CB6" w:rsidRPr="00DA1439">
        <w:rPr>
          <w:rFonts w:asciiTheme="minorHAnsi" w:eastAsiaTheme="minorHAnsi" w:hAnsiTheme="minorHAnsi"/>
          <w:szCs w:val="24"/>
        </w:rPr>
        <w:lastRenderedPageBreak/>
        <w:t>will</w:t>
      </w:r>
      <w:r w:rsidRPr="00DA1439">
        <w:rPr>
          <w:rFonts w:asciiTheme="minorHAnsi" w:eastAsiaTheme="minorHAnsi" w:hAnsiTheme="minorHAnsi"/>
          <w:szCs w:val="24"/>
        </w:rPr>
        <w:t xml:space="preserve"> give advance directive information to the individual’s resident representative in accordance with State law.  </w:t>
      </w:r>
    </w:p>
    <w:p w:rsidR="00B953FE" w:rsidRDefault="00611CB6" w:rsidP="00DA1439">
      <w:pPr>
        <w:pStyle w:val="ListParagraph"/>
        <w:numPr>
          <w:ilvl w:val="1"/>
          <w:numId w:val="26"/>
        </w:numPr>
        <w:rPr>
          <w:rFonts w:asciiTheme="minorHAnsi" w:eastAsiaTheme="minorHAnsi" w:hAnsiTheme="minorHAnsi"/>
          <w:szCs w:val="24"/>
        </w:rPr>
      </w:pPr>
      <w:r w:rsidRPr="00DA1439">
        <w:rPr>
          <w:rFonts w:asciiTheme="minorHAnsi" w:eastAsiaTheme="minorHAnsi" w:hAnsiTheme="minorHAnsi"/>
          <w:szCs w:val="24"/>
        </w:rPr>
        <w:t xml:space="preserve">In the event that the resident condition changes, based on regular comprehensive assessment or change in resident status review, and the resident is able to receive such information, the resident will be provided with written description of the facility’s policies to implement an advance directive. </w:t>
      </w:r>
    </w:p>
    <w:p w:rsidR="00ED101C" w:rsidRDefault="00611CB6" w:rsidP="00B953FE">
      <w:pPr>
        <w:pStyle w:val="ListParagraph"/>
        <w:ind w:left="1440"/>
        <w:rPr>
          <w:rFonts w:asciiTheme="minorHAnsi" w:eastAsiaTheme="minorHAnsi" w:hAnsiTheme="minorHAnsi"/>
          <w:szCs w:val="24"/>
        </w:rPr>
      </w:pPr>
      <w:r w:rsidRPr="00DA1439">
        <w:rPr>
          <w:rFonts w:asciiTheme="minorHAnsi" w:eastAsiaTheme="minorHAnsi" w:hAnsiTheme="minorHAnsi"/>
          <w:szCs w:val="24"/>
        </w:rPr>
        <w:t xml:space="preserve"> </w:t>
      </w:r>
    </w:p>
    <w:p w:rsidR="00B953FE" w:rsidRDefault="00B953FE" w:rsidP="00B953FE">
      <w:pPr>
        <w:pStyle w:val="ListParagraph"/>
        <w:numPr>
          <w:ilvl w:val="0"/>
          <w:numId w:val="26"/>
        </w:numPr>
        <w:rPr>
          <w:rFonts w:asciiTheme="minorHAnsi" w:eastAsiaTheme="minorHAnsi" w:hAnsiTheme="minorHAnsi"/>
          <w:color w:val="FF0000"/>
          <w:szCs w:val="24"/>
        </w:rPr>
      </w:pPr>
      <w:r w:rsidRPr="00B953FE">
        <w:rPr>
          <w:rFonts w:asciiTheme="minorHAnsi" w:eastAsiaTheme="minorHAnsi" w:hAnsiTheme="minorHAnsi"/>
          <w:color w:val="FF0000"/>
          <w:szCs w:val="24"/>
        </w:rPr>
        <w:t>If a resident who is admitted wishes to complete an advance directive</w:t>
      </w:r>
      <w:r>
        <w:rPr>
          <w:rFonts w:asciiTheme="minorHAnsi" w:eastAsiaTheme="minorHAnsi" w:hAnsiTheme="minorHAnsi"/>
          <w:color w:val="FF0000"/>
          <w:szCs w:val="24"/>
        </w:rPr>
        <w:t xml:space="preserve"> including the Durable Power of Attorney for Health Care</w:t>
      </w:r>
      <w:r w:rsidRPr="00B953FE">
        <w:rPr>
          <w:rFonts w:asciiTheme="minorHAnsi" w:eastAsiaTheme="minorHAnsi" w:hAnsiTheme="minorHAnsi"/>
          <w:color w:val="FF0000"/>
          <w:szCs w:val="24"/>
        </w:rPr>
        <w:t xml:space="preserve">, the law in Kansas </w:t>
      </w:r>
      <w:r>
        <w:rPr>
          <w:rFonts w:asciiTheme="minorHAnsi" w:eastAsiaTheme="minorHAnsi" w:hAnsiTheme="minorHAnsi"/>
          <w:color w:val="FF0000"/>
          <w:szCs w:val="24"/>
        </w:rPr>
        <w:t>requires that the resident sign the advance directive document, or direct another to sign it, in the presence of two witnesses who must be at least 18 years of age.  These witnesses must also sign the document to show that they personally know the resident, believe the resident to be of sound mind, that they did not sign the document on the resident’s behalf and that they do not fall into any of the categories of people who cannot be witnesses:</w:t>
      </w:r>
    </w:p>
    <w:p w:rsidR="00B953FE" w:rsidRDefault="00B953FE" w:rsidP="00B953FE">
      <w:pPr>
        <w:pStyle w:val="ListParagraph"/>
        <w:numPr>
          <w:ilvl w:val="1"/>
          <w:numId w:val="26"/>
        </w:numPr>
        <w:rPr>
          <w:rFonts w:asciiTheme="minorHAnsi" w:eastAsiaTheme="minorHAnsi" w:hAnsiTheme="minorHAnsi"/>
          <w:color w:val="FF0000"/>
          <w:szCs w:val="24"/>
        </w:rPr>
      </w:pPr>
      <w:r>
        <w:rPr>
          <w:rFonts w:asciiTheme="minorHAnsi" w:eastAsiaTheme="minorHAnsi" w:hAnsiTheme="minorHAnsi"/>
          <w:color w:val="FF0000"/>
          <w:szCs w:val="24"/>
        </w:rPr>
        <w:t>The appointed health care proxy</w:t>
      </w:r>
    </w:p>
    <w:p w:rsidR="00B953FE" w:rsidRDefault="00B953FE" w:rsidP="00B953FE">
      <w:pPr>
        <w:pStyle w:val="ListParagraph"/>
        <w:numPr>
          <w:ilvl w:val="1"/>
          <w:numId w:val="26"/>
        </w:numPr>
        <w:rPr>
          <w:rFonts w:asciiTheme="minorHAnsi" w:eastAsiaTheme="minorHAnsi" w:hAnsiTheme="minorHAnsi"/>
          <w:color w:val="FF0000"/>
          <w:szCs w:val="24"/>
        </w:rPr>
      </w:pPr>
      <w:r>
        <w:rPr>
          <w:rFonts w:asciiTheme="minorHAnsi" w:eastAsiaTheme="minorHAnsi" w:hAnsiTheme="minorHAnsi"/>
          <w:color w:val="FF0000"/>
          <w:szCs w:val="24"/>
        </w:rPr>
        <w:t>Related to the resident by blood/adoption/marriage</w:t>
      </w:r>
    </w:p>
    <w:p w:rsidR="00B953FE" w:rsidRDefault="00B953FE" w:rsidP="00B953FE">
      <w:pPr>
        <w:pStyle w:val="ListParagraph"/>
        <w:numPr>
          <w:ilvl w:val="1"/>
          <w:numId w:val="26"/>
        </w:numPr>
        <w:rPr>
          <w:rFonts w:asciiTheme="minorHAnsi" w:eastAsiaTheme="minorHAnsi" w:hAnsiTheme="minorHAnsi"/>
          <w:color w:val="FF0000"/>
          <w:szCs w:val="24"/>
        </w:rPr>
      </w:pPr>
      <w:r>
        <w:rPr>
          <w:rFonts w:asciiTheme="minorHAnsi" w:eastAsiaTheme="minorHAnsi" w:hAnsiTheme="minorHAnsi"/>
          <w:color w:val="FF0000"/>
          <w:szCs w:val="24"/>
        </w:rPr>
        <w:t>Entitles to any portion of the resident’s estate</w:t>
      </w:r>
    </w:p>
    <w:p w:rsidR="00B953FE" w:rsidRPr="00B953FE" w:rsidRDefault="00B953FE" w:rsidP="00B953FE">
      <w:pPr>
        <w:pStyle w:val="ListParagraph"/>
        <w:numPr>
          <w:ilvl w:val="1"/>
          <w:numId w:val="26"/>
        </w:numPr>
        <w:rPr>
          <w:rFonts w:asciiTheme="minorHAnsi" w:eastAsiaTheme="minorHAnsi" w:hAnsiTheme="minorHAnsi"/>
          <w:color w:val="FF0000"/>
          <w:szCs w:val="24"/>
        </w:rPr>
      </w:pPr>
      <w:r>
        <w:rPr>
          <w:rFonts w:asciiTheme="minorHAnsi" w:eastAsiaTheme="minorHAnsi" w:hAnsiTheme="minorHAnsi"/>
          <w:color w:val="FF0000"/>
          <w:szCs w:val="24"/>
        </w:rPr>
        <w:t>Directly financially responsible for the resident’s medical care.</w:t>
      </w:r>
    </w:p>
    <w:p w:rsidR="006C781E" w:rsidRPr="00B953FE" w:rsidRDefault="006C781E" w:rsidP="004769B5">
      <w:pPr>
        <w:rPr>
          <w:rFonts w:asciiTheme="minorHAnsi" w:eastAsiaTheme="minorHAnsi" w:hAnsiTheme="minorHAnsi"/>
          <w:color w:val="FF0000"/>
          <w:szCs w:val="24"/>
        </w:rPr>
      </w:pPr>
    </w:p>
    <w:p w:rsidR="0037305D" w:rsidRPr="007560D4" w:rsidRDefault="0037305D" w:rsidP="00DA1439">
      <w:pPr>
        <w:pStyle w:val="ListParagraph"/>
        <w:numPr>
          <w:ilvl w:val="0"/>
          <w:numId w:val="26"/>
        </w:numPr>
        <w:rPr>
          <w:rFonts w:asciiTheme="minorHAnsi" w:eastAsiaTheme="minorHAnsi" w:hAnsiTheme="minorHAnsi"/>
          <w:b/>
          <w:i/>
          <w:szCs w:val="24"/>
        </w:rPr>
      </w:pPr>
      <w:r w:rsidRPr="00DA1439">
        <w:rPr>
          <w:rFonts w:asciiTheme="minorHAnsi" w:eastAsiaTheme="minorHAnsi" w:hAnsiTheme="minorHAnsi"/>
          <w:szCs w:val="24"/>
        </w:rPr>
        <w:t xml:space="preserve">All advance directive document copies will be obtained and </w:t>
      </w:r>
      <w:r w:rsidRPr="007560D4">
        <w:rPr>
          <w:rFonts w:asciiTheme="minorHAnsi" w:eastAsiaTheme="minorHAnsi" w:hAnsiTheme="minorHAnsi"/>
          <w:szCs w:val="24"/>
        </w:rPr>
        <w:t xml:space="preserve">located </w:t>
      </w:r>
      <w:r w:rsidRPr="007560D4">
        <w:rPr>
          <w:rFonts w:asciiTheme="minorHAnsi" w:eastAsiaTheme="minorHAnsi" w:hAnsiTheme="minorHAnsi"/>
          <w:b/>
          <w:i/>
          <w:szCs w:val="24"/>
        </w:rPr>
        <w:t xml:space="preserve">(identify the same section of the resident’s medical record that would be readily retrievable by any facility staff.)  </w:t>
      </w:r>
    </w:p>
    <w:p w:rsidR="0037305D" w:rsidRPr="004769B5" w:rsidRDefault="0037305D" w:rsidP="004769B5">
      <w:pPr>
        <w:rPr>
          <w:rFonts w:asciiTheme="minorHAnsi" w:eastAsiaTheme="minorHAnsi" w:hAnsiTheme="minorHAnsi"/>
          <w:szCs w:val="24"/>
        </w:rPr>
      </w:pPr>
    </w:p>
    <w:p w:rsidR="0037305D" w:rsidRPr="00DA1439" w:rsidRDefault="0037305D" w:rsidP="00DA1439">
      <w:pPr>
        <w:pStyle w:val="ListParagraph"/>
        <w:numPr>
          <w:ilvl w:val="0"/>
          <w:numId w:val="26"/>
        </w:numPr>
        <w:rPr>
          <w:rFonts w:asciiTheme="minorHAnsi" w:eastAsiaTheme="minorHAnsi" w:hAnsiTheme="minorHAnsi"/>
          <w:szCs w:val="24"/>
        </w:rPr>
      </w:pPr>
      <w:r w:rsidRPr="00DA1439">
        <w:rPr>
          <w:rFonts w:asciiTheme="minorHAnsi" w:eastAsiaTheme="minorHAnsi" w:hAnsiTheme="minorHAnsi"/>
          <w:szCs w:val="24"/>
        </w:rPr>
        <w:lastRenderedPageBreak/>
        <w:t xml:space="preserve">Resident wishes will be communicated to the staff via the care plan and </w:t>
      </w:r>
      <w:r w:rsidRPr="007560D4">
        <w:rPr>
          <w:rFonts w:asciiTheme="minorHAnsi" w:eastAsiaTheme="minorHAnsi" w:hAnsiTheme="minorHAnsi"/>
          <w:b/>
          <w:i/>
          <w:szCs w:val="24"/>
        </w:rPr>
        <w:t>(identify facility protocol for communication of advance directives either in written or oral format)</w:t>
      </w:r>
      <w:r w:rsidRPr="00DA1439">
        <w:rPr>
          <w:rFonts w:asciiTheme="minorHAnsi" w:eastAsiaTheme="minorHAnsi" w:hAnsiTheme="minorHAnsi"/>
          <w:szCs w:val="24"/>
        </w:rPr>
        <w:t xml:space="preserve"> and to the resident physician.</w:t>
      </w:r>
    </w:p>
    <w:p w:rsidR="0037305D" w:rsidRPr="004769B5" w:rsidRDefault="0037305D" w:rsidP="004769B5">
      <w:pPr>
        <w:rPr>
          <w:rFonts w:asciiTheme="minorHAnsi" w:eastAsiaTheme="minorHAnsi" w:hAnsiTheme="minorHAnsi"/>
          <w:szCs w:val="24"/>
        </w:rPr>
      </w:pPr>
    </w:p>
    <w:p w:rsidR="00ED101C" w:rsidRDefault="0097400C" w:rsidP="00DA1439">
      <w:pPr>
        <w:pStyle w:val="ListParagraph"/>
        <w:numPr>
          <w:ilvl w:val="0"/>
          <w:numId w:val="26"/>
        </w:numPr>
        <w:rPr>
          <w:rFonts w:asciiTheme="minorHAnsi" w:eastAsiaTheme="minorHAnsi" w:hAnsiTheme="minorHAnsi"/>
          <w:szCs w:val="24"/>
        </w:rPr>
      </w:pPr>
      <w:r w:rsidRPr="00DA1439">
        <w:rPr>
          <w:rFonts w:asciiTheme="minorHAnsi" w:eastAsiaTheme="minorHAnsi" w:hAnsiTheme="minorHAnsi"/>
          <w:szCs w:val="24"/>
        </w:rPr>
        <w:t>The resident will be assessed periodically for decision-making ability capacity and for changes in resident preferences and choices.</w:t>
      </w:r>
    </w:p>
    <w:p w:rsidR="007560D4" w:rsidRPr="007560D4" w:rsidRDefault="007560D4" w:rsidP="007560D4">
      <w:pPr>
        <w:rPr>
          <w:rFonts w:asciiTheme="minorHAnsi" w:eastAsiaTheme="minorHAnsi" w:hAnsiTheme="minorHAnsi"/>
          <w:szCs w:val="24"/>
        </w:rPr>
      </w:pPr>
    </w:p>
    <w:p w:rsidR="000D4F24" w:rsidRPr="004769B5" w:rsidRDefault="00ED101C" w:rsidP="00DA1439">
      <w:pPr>
        <w:pStyle w:val="ListParagraph"/>
        <w:numPr>
          <w:ilvl w:val="0"/>
          <w:numId w:val="26"/>
        </w:numPr>
        <w:rPr>
          <w:rFonts w:asciiTheme="minorHAnsi" w:eastAsiaTheme="minorHAnsi" w:hAnsiTheme="minorHAnsi"/>
          <w:szCs w:val="24"/>
        </w:rPr>
      </w:pPr>
      <w:r w:rsidRPr="004769B5">
        <w:rPr>
          <w:rFonts w:asciiTheme="minorHAnsi" w:eastAsiaTheme="minorHAnsi" w:hAnsiTheme="minorHAnsi"/>
          <w:szCs w:val="24"/>
        </w:rPr>
        <w:t>During the quarterly RAI process and with any significant changes of condition, facility staff will</w:t>
      </w:r>
      <w:r w:rsidR="000D4F24" w:rsidRPr="004769B5">
        <w:rPr>
          <w:rFonts w:asciiTheme="minorHAnsi" w:eastAsiaTheme="minorHAnsi" w:hAnsiTheme="minorHAnsi"/>
          <w:szCs w:val="24"/>
        </w:rPr>
        <w:t>:</w:t>
      </w:r>
    </w:p>
    <w:p w:rsidR="000D4F24" w:rsidRPr="004769B5" w:rsidRDefault="000D4F24" w:rsidP="00591D0F">
      <w:pPr>
        <w:pStyle w:val="ListParagraph"/>
        <w:numPr>
          <w:ilvl w:val="1"/>
          <w:numId w:val="32"/>
        </w:numPr>
        <w:rPr>
          <w:rFonts w:asciiTheme="minorHAnsi" w:eastAsiaTheme="minorHAnsi" w:hAnsiTheme="minorHAnsi"/>
          <w:szCs w:val="24"/>
        </w:rPr>
      </w:pPr>
      <w:r w:rsidRPr="004769B5">
        <w:rPr>
          <w:rFonts w:asciiTheme="minorHAnsi" w:eastAsiaTheme="minorHAnsi" w:hAnsiTheme="minorHAnsi"/>
          <w:szCs w:val="24"/>
        </w:rPr>
        <w:t>Identify, clarify and review the existing care instructions and whether the resident wishes to change or continue instructions from the advance directive</w:t>
      </w:r>
    </w:p>
    <w:p w:rsidR="000D4F24" w:rsidRPr="004769B5" w:rsidRDefault="000D4F24" w:rsidP="00591D0F">
      <w:pPr>
        <w:pStyle w:val="ListParagraph"/>
        <w:numPr>
          <w:ilvl w:val="1"/>
          <w:numId w:val="32"/>
        </w:numPr>
        <w:rPr>
          <w:rFonts w:asciiTheme="minorHAnsi" w:eastAsiaTheme="minorHAnsi" w:hAnsiTheme="minorHAnsi"/>
          <w:szCs w:val="24"/>
        </w:rPr>
      </w:pPr>
      <w:r w:rsidRPr="004769B5">
        <w:rPr>
          <w:rFonts w:asciiTheme="minorHAnsi" w:eastAsiaTheme="minorHAnsi" w:hAnsiTheme="minorHAnsi"/>
          <w:szCs w:val="24"/>
        </w:rPr>
        <w:t>Define and clarify medical issue, review the resident’s condition and existing choices and present information regarding relevant health care issues to the resident or resident representative as appropriate to determine continuation or modification of choices of care</w:t>
      </w:r>
    </w:p>
    <w:p w:rsidR="00ED101C" w:rsidRPr="004769B5" w:rsidRDefault="000D4F24" w:rsidP="00591D0F">
      <w:pPr>
        <w:pStyle w:val="ListParagraph"/>
        <w:numPr>
          <w:ilvl w:val="1"/>
          <w:numId w:val="32"/>
        </w:numPr>
        <w:rPr>
          <w:rFonts w:asciiTheme="minorHAnsi" w:eastAsiaTheme="minorHAnsi" w:hAnsiTheme="minorHAnsi"/>
          <w:szCs w:val="24"/>
        </w:rPr>
      </w:pPr>
      <w:r w:rsidRPr="004769B5">
        <w:rPr>
          <w:rFonts w:asciiTheme="minorHAnsi" w:eastAsiaTheme="minorHAnsi" w:hAnsiTheme="minorHAnsi"/>
          <w:szCs w:val="24"/>
        </w:rPr>
        <w:t>A</w:t>
      </w:r>
      <w:r w:rsidR="00ED101C" w:rsidRPr="004769B5">
        <w:rPr>
          <w:rFonts w:asciiTheme="minorHAnsi" w:eastAsiaTheme="minorHAnsi" w:hAnsiTheme="minorHAnsi"/>
          <w:szCs w:val="24"/>
        </w:rPr>
        <w:t>ssess the resident for decision-making capacity and based on assessment, the resident is determined not to have decision-making capacity, facility staff will invoke the health care agent or legal representative</w:t>
      </w:r>
    </w:p>
    <w:p w:rsidR="000D4F24" w:rsidRPr="004769B5" w:rsidRDefault="000D4F24" w:rsidP="00591D0F">
      <w:pPr>
        <w:pStyle w:val="ListParagraph"/>
        <w:numPr>
          <w:ilvl w:val="1"/>
          <w:numId w:val="32"/>
        </w:numPr>
        <w:rPr>
          <w:rFonts w:asciiTheme="minorHAnsi" w:eastAsiaTheme="minorHAnsi" w:hAnsiTheme="minorHAnsi"/>
          <w:szCs w:val="24"/>
        </w:rPr>
      </w:pPr>
      <w:r w:rsidRPr="004769B5">
        <w:rPr>
          <w:rFonts w:asciiTheme="minorHAnsi" w:eastAsiaTheme="minorHAnsi" w:hAnsiTheme="minorHAnsi"/>
          <w:szCs w:val="24"/>
        </w:rPr>
        <w:t>Identify situations where health care decision-making is needed, such as a significant decline or improvement in the resident’s condition</w:t>
      </w:r>
    </w:p>
    <w:p w:rsidR="000D4F24" w:rsidRPr="004769B5" w:rsidRDefault="000D4F24" w:rsidP="00591D0F">
      <w:pPr>
        <w:pStyle w:val="ListParagraph"/>
        <w:numPr>
          <w:ilvl w:val="1"/>
          <w:numId w:val="32"/>
        </w:numPr>
        <w:rPr>
          <w:rFonts w:asciiTheme="minorHAnsi" w:eastAsiaTheme="minorHAnsi" w:hAnsiTheme="minorHAnsi"/>
          <w:szCs w:val="24"/>
        </w:rPr>
      </w:pPr>
      <w:r w:rsidRPr="004769B5">
        <w:rPr>
          <w:rFonts w:asciiTheme="minorHAnsi" w:eastAsiaTheme="minorHAnsi" w:hAnsiTheme="minorHAnsi"/>
          <w:szCs w:val="24"/>
        </w:rPr>
        <w:t>Changes to the resident choices for advance dir</w:t>
      </w:r>
      <w:r w:rsidR="0097400C" w:rsidRPr="004769B5">
        <w:rPr>
          <w:rFonts w:asciiTheme="minorHAnsi" w:eastAsiaTheme="minorHAnsi" w:hAnsiTheme="minorHAnsi"/>
          <w:szCs w:val="24"/>
        </w:rPr>
        <w:t xml:space="preserve">ectives will be documented, included </w:t>
      </w:r>
      <w:r w:rsidRPr="004769B5">
        <w:rPr>
          <w:rFonts w:asciiTheme="minorHAnsi" w:eastAsiaTheme="minorHAnsi" w:hAnsiTheme="minorHAnsi"/>
          <w:szCs w:val="24"/>
        </w:rPr>
        <w:t xml:space="preserve">in the resident plan of care, State specific documents will be updated as necessary, physician orders will be obtained to reflect new choices as applicable </w:t>
      </w:r>
      <w:r w:rsidRPr="004769B5">
        <w:rPr>
          <w:rFonts w:asciiTheme="minorHAnsi" w:eastAsiaTheme="minorHAnsi" w:hAnsiTheme="minorHAnsi"/>
          <w:szCs w:val="24"/>
        </w:rPr>
        <w:lastRenderedPageBreak/>
        <w:t xml:space="preserve">and all items will be </w:t>
      </w:r>
      <w:r w:rsidR="006C781E" w:rsidRPr="004769B5">
        <w:rPr>
          <w:rFonts w:asciiTheme="minorHAnsi" w:eastAsiaTheme="minorHAnsi" w:hAnsiTheme="minorHAnsi"/>
          <w:szCs w:val="24"/>
        </w:rPr>
        <w:t>communicated to staff providing resident care</w:t>
      </w:r>
    </w:p>
    <w:p w:rsidR="000D4F24" w:rsidRPr="004769B5" w:rsidRDefault="000D4F24" w:rsidP="00591D0F">
      <w:pPr>
        <w:pStyle w:val="ListParagraph"/>
        <w:numPr>
          <w:ilvl w:val="1"/>
          <w:numId w:val="32"/>
        </w:numPr>
        <w:rPr>
          <w:rFonts w:asciiTheme="minorHAnsi" w:eastAsiaTheme="minorHAnsi" w:hAnsiTheme="minorHAnsi"/>
          <w:szCs w:val="24"/>
        </w:rPr>
      </w:pPr>
      <w:r w:rsidRPr="004769B5">
        <w:rPr>
          <w:rFonts w:asciiTheme="minorHAnsi" w:eastAsiaTheme="minorHAnsi" w:hAnsiTheme="minorHAnsi"/>
          <w:szCs w:val="24"/>
        </w:rPr>
        <w:t>Identify the proc</w:t>
      </w:r>
      <w:r w:rsidR="007560D4">
        <w:rPr>
          <w:rFonts w:asciiTheme="minorHAnsi" w:eastAsiaTheme="minorHAnsi" w:hAnsiTheme="minorHAnsi"/>
          <w:szCs w:val="24"/>
        </w:rPr>
        <w:t>ess</w:t>
      </w:r>
      <w:r w:rsidRPr="004769B5">
        <w:rPr>
          <w:rFonts w:asciiTheme="minorHAnsi" w:eastAsiaTheme="minorHAnsi" w:hAnsiTheme="minorHAnsi"/>
          <w:szCs w:val="24"/>
        </w:rPr>
        <w:t xml:space="preserve"> in which the facility and/or physician do not believe they can provide care in accordance with the resident’s advance directives or other wishes on the basis of conscience</w:t>
      </w:r>
    </w:p>
    <w:p w:rsidR="00EE1F3A" w:rsidRDefault="00EE1F3A" w:rsidP="004769B5">
      <w:pPr>
        <w:tabs>
          <w:tab w:val="num" w:pos="630"/>
        </w:tabs>
        <w:rPr>
          <w:rFonts w:asciiTheme="minorHAnsi" w:hAnsiTheme="minorHAnsi" w:cs="Arial"/>
          <w:b/>
          <w:szCs w:val="24"/>
        </w:rPr>
      </w:pPr>
    </w:p>
    <w:p w:rsidR="004769B5" w:rsidRPr="004769B5" w:rsidRDefault="004769B5" w:rsidP="004769B5">
      <w:pPr>
        <w:tabs>
          <w:tab w:val="num" w:pos="630"/>
        </w:tabs>
        <w:rPr>
          <w:rFonts w:asciiTheme="minorHAnsi" w:hAnsiTheme="minorHAnsi" w:cs="Arial"/>
          <w:b/>
          <w:szCs w:val="24"/>
        </w:rPr>
      </w:pPr>
    </w:p>
    <w:p w:rsidR="009801BB" w:rsidRPr="004769B5" w:rsidRDefault="00EE1F3A" w:rsidP="004769B5">
      <w:pPr>
        <w:tabs>
          <w:tab w:val="num" w:pos="630"/>
        </w:tabs>
        <w:rPr>
          <w:rFonts w:asciiTheme="minorHAnsi" w:hAnsiTheme="minorHAnsi" w:cs="Arial"/>
          <w:b/>
          <w:szCs w:val="24"/>
        </w:rPr>
      </w:pPr>
      <w:r w:rsidRPr="004769B5">
        <w:rPr>
          <w:rFonts w:asciiTheme="minorHAnsi" w:hAnsiTheme="minorHAnsi" w:cs="Arial"/>
          <w:b/>
          <w:szCs w:val="24"/>
        </w:rPr>
        <w:t>ADVANCE CARE PLANNING</w:t>
      </w:r>
    </w:p>
    <w:p w:rsidR="00EE1F3A" w:rsidRPr="004769B5" w:rsidRDefault="00EE1F3A" w:rsidP="004769B5">
      <w:pPr>
        <w:tabs>
          <w:tab w:val="num" w:pos="630"/>
        </w:tabs>
        <w:rPr>
          <w:rFonts w:asciiTheme="minorHAnsi" w:hAnsiTheme="minorHAnsi" w:cs="Arial"/>
          <w:b/>
          <w:szCs w:val="24"/>
        </w:rPr>
      </w:pPr>
    </w:p>
    <w:p w:rsidR="009801BB" w:rsidRPr="00591D0F" w:rsidRDefault="009801BB" w:rsidP="00DA1439">
      <w:pPr>
        <w:pStyle w:val="ListParagraph"/>
        <w:numPr>
          <w:ilvl w:val="0"/>
          <w:numId w:val="28"/>
        </w:numPr>
        <w:autoSpaceDE w:val="0"/>
        <w:autoSpaceDN w:val="0"/>
        <w:adjustRightInd w:val="0"/>
        <w:contextualSpacing/>
        <w:rPr>
          <w:rFonts w:asciiTheme="minorHAnsi" w:hAnsiTheme="minorHAnsi"/>
          <w:szCs w:val="24"/>
        </w:rPr>
      </w:pPr>
      <w:r w:rsidRPr="004769B5">
        <w:rPr>
          <w:rFonts w:asciiTheme="minorHAnsi" w:eastAsiaTheme="minorHAnsi" w:hAnsiTheme="minorHAnsi"/>
          <w:szCs w:val="24"/>
        </w:rPr>
        <w:t>In order for a resident to exercise his or her right to make informed choices about care and treatment</w:t>
      </w:r>
      <w:r w:rsidR="00EE1F3A" w:rsidRPr="004769B5">
        <w:rPr>
          <w:rFonts w:asciiTheme="minorHAnsi" w:eastAsiaTheme="minorHAnsi" w:hAnsiTheme="minorHAnsi"/>
          <w:szCs w:val="24"/>
        </w:rPr>
        <w:t xml:space="preserve"> in preparation for a time when the resident may not be able to make deci</w:t>
      </w:r>
      <w:r w:rsidR="00D60968" w:rsidRPr="004769B5">
        <w:rPr>
          <w:rFonts w:asciiTheme="minorHAnsi" w:eastAsiaTheme="minorHAnsi" w:hAnsiTheme="minorHAnsi"/>
          <w:szCs w:val="24"/>
        </w:rPr>
        <w:t xml:space="preserve">sions, </w:t>
      </w:r>
      <w:r w:rsidRPr="004769B5">
        <w:rPr>
          <w:rFonts w:asciiTheme="minorHAnsi" w:hAnsiTheme="minorHAnsi"/>
          <w:iCs/>
          <w:szCs w:val="24"/>
        </w:rPr>
        <w:t xml:space="preserve">designated personnel and/or </w:t>
      </w:r>
      <w:r w:rsidR="00EE1F3A" w:rsidRPr="004769B5">
        <w:rPr>
          <w:rFonts w:asciiTheme="minorHAnsi" w:hAnsiTheme="minorHAnsi"/>
          <w:iCs/>
          <w:szCs w:val="24"/>
        </w:rPr>
        <w:t>physician</w:t>
      </w:r>
      <w:r w:rsidRPr="004769B5">
        <w:rPr>
          <w:rFonts w:asciiTheme="minorHAnsi" w:hAnsiTheme="minorHAnsi"/>
          <w:iCs/>
          <w:szCs w:val="24"/>
        </w:rPr>
        <w:t xml:space="preserve"> will assist with defining and clarifying medical issues and presenting the information regarding relevant health care issues to the resident or his/her legal representative</w:t>
      </w:r>
      <w:r w:rsidR="00EE1F3A" w:rsidRPr="004769B5">
        <w:rPr>
          <w:rFonts w:asciiTheme="minorHAnsi" w:hAnsiTheme="minorHAnsi"/>
          <w:iCs/>
          <w:szCs w:val="24"/>
        </w:rPr>
        <w:t>, in a language that the resident can understand</w:t>
      </w:r>
      <w:r w:rsidRPr="004769B5">
        <w:rPr>
          <w:rFonts w:asciiTheme="minorHAnsi" w:hAnsiTheme="minorHAnsi"/>
          <w:iCs/>
          <w:szCs w:val="24"/>
        </w:rPr>
        <w:t>, as appropriate.</w:t>
      </w:r>
    </w:p>
    <w:p w:rsidR="00591D0F" w:rsidRPr="004769B5" w:rsidRDefault="00591D0F" w:rsidP="00591D0F">
      <w:pPr>
        <w:pStyle w:val="ListParagraph"/>
        <w:autoSpaceDE w:val="0"/>
        <w:autoSpaceDN w:val="0"/>
        <w:adjustRightInd w:val="0"/>
        <w:ind w:left="1080"/>
        <w:contextualSpacing/>
        <w:rPr>
          <w:rFonts w:asciiTheme="minorHAnsi" w:hAnsiTheme="minorHAnsi"/>
          <w:szCs w:val="24"/>
        </w:rPr>
      </w:pPr>
    </w:p>
    <w:p w:rsidR="009801BB" w:rsidRPr="00591D0F" w:rsidRDefault="00D60968" w:rsidP="00DA1439">
      <w:pPr>
        <w:pStyle w:val="ListParagraph"/>
        <w:numPr>
          <w:ilvl w:val="0"/>
          <w:numId w:val="28"/>
        </w:numPr>
        <w:autoSpaceDE w:val="0"/>
        <w:autoSpaceDN w:val="0"/>
        <w:adjustRightInd w:val="0"/>
        <w:contextualSpacing/>
        <w:rPr>
          <w:rFonts w:asciiTheme="minorHAnsi" w:hAnsiTheme="minorHAnsi"/>
          <w:szCs w:val="24"/>
        </w:rPr>
      </w:pPr>
      <w:r w:rsidRPr="004769B5">
        <w:rPr>
          <w:rFonts w:asciiTheme="minorHAnsi" w:hAnsiTheme="minorHAnsi"/>
          <w:iCs/>
          <w:szCs w:val="24"/>
        </w:rPr>
        <w:t>T</w:t>
      </w:r>
      <w:r w:rsidR="009801BB" w:rsidRPr="004769B5">
        <w:rPr>
          <w:rFonts w:asciiTheme="minorHAnsi" w:hAnsiTheme="minorHAnsi"/>
          <w:iCs/>
          <w:szCs w:val="24"/>
        </w:rPr>
        <w:t>he interdisciplinary team will identify, clarify, and review, as part of the comprehensive care planning process, the existing care instructions along with resident’s goals wishes as the resid</w:t>
      </w:r>
      <w:r w:rsidRPr="004769B5">
        <w:rPr>
          <w:rFonts w:asciiTheme="minorHAnsi" w:hAnsiTheme="minorHAnsi"/>
          <w:iCs/>
          <w:szCs w:val="24"/>
        </w:rPr>
        <w:t>ent’s medical condition changes.</w:t>
      </w:r>
    </w:p>
    <w:p w:rsidR="00591D0F" w:rsidRPr="004769B5" w:rsidRDefault="00591D0F" w:rsidP="00591D0F">
      <w:pPr>
        <w:pStyle w:val="ListParagraph"/>
        <w:autoSpaceDE w:val="0"/>
        <w:autoSpaceDN w:val="0"/>
        <w:adjustRightInd w:val="0"/>
        <w:ind w:left="1080"/>
        <w:contextualSpacing/>
        <w:rPr>
          <w:rFonts w:asciiTheme="minorHAnsi" w:hAnsiTheme="minorHAnsi"/>
          <w:szCs w:val="24"/>
        </w:rPr>
      </w:pPr>
    </w:p>
    <w:p w:rsidR="009801BB" w:rsidRPr="004769B5" w:rsidRDefault="00D60968" w:rsidP="00DA1439">
      <w:pPr>
        <w:pStyle w:val="ListParagraph"/>
        <w:numPr>
          <w:ilvl w:val="0"/>
          <w:numId w:val="28"/>
        </w:numPr>
        <w:autoSpaceDE w:val="0"/>
        <w:autoSpaceDN w:val="0"/>
        <w:adjustRightInd w:val="0"/>
        <w:contextualSpacing/>
        <w:rPr>
          <w:rFonts w:asciiTheme="minorHAnsi" w:hAnsiTheme="minorHAnsi"/>
          <w:szCs w:val="24"/>
        </w:rPr>
      </w:pPr>
      <w:r w:rsidRPr="004769B5">
        <w:rPr>
          <w:rFonts w:asciiTheme="minorHAnsi" w:hAnsiTheme="minorHAnsi"/>
          <w:szCs w:val="24"/>
        </w:rPr>
        <w:t xml:space="preserve">Encourage resident involvement and control in decision making as much as possible.  </w:t>
      </w:r>
      <w:r w:rsidR="009801BB" w:rsidRPr="004769B5">
        <w:rPr>
          <w:rFonts w:asciiTheme="minorHAnsi" w:hAnsiTheme="minorHAnsi"/>
          <w:szCs w:val="24"/>
        </w:rPr>
        <w:t xml:space="preserve">One of the key elements identified at end of life the ability afforded to the dying person is control in decision making. This also allows the decision maker (whether it is </w:t>
      </w:r>
      <w:r w:rsidR="009801BB" w:rsidRPr="004769B5">
        <w:rPr>
          <w:rFonts w:asciiTheme="minorHAnsi" w:hAnsiTheme="minorHAnsi"/>
          <w:szCs w:val="24"/>
        </w:rPr>
        <w:lastRenderedPageBreak/>
        <w:t xml:space="preserve">the resident, </w:t>
      </w:r>
      <w:r w:rsidR="00B12896">
        <w:rPr>
          <w:rFonts w:asciiTheme="minorHAnsi" w:hAnsiTheme="minorHAnsi"/>
          <w:szCs w:val="24"/>
        </w:rPr>
        <w:t>resident representative</w:t>
      </w:r>
      <w:r w:rsidR="009801BB" w:rsidRPr="004769B5">
        <w:rPr>
          <w:rFonts w:asciiTheme="minorHAnsi" w:hAnsiTheme="minorHAnsi"/>
          <w:szCs w:val="24"/>
        </w:rPr>
        <w:t>) to be better informed about treatment alternatives.</w:t>
      </w:r>
    </w:p>
    <w:p w:rsidR="009801BB" w:rsidRPr="004769B5" w:rsidRDefault="009801BB" w:rsidP="009801BB">
      <w:pPr>
        <w:spacing w:line="360" w:lineRule="auto"/>
        <w:rPr>
          <w:rFonts w:asciiTheme="minorHAnsi" w:eastAsiaTheme="minorHAnsi" w:hAnsiTheme="minorHAnsi"/>
          <w:szCs w:val="24"/>
        </w:rPr>
      </w:pPr>
    </w:p>
    <w:p w:rsidR="00D60968" w:rsidRPr="004769B5" w:rsidRDefault="00D60968" w:rsidP="00F9046D">
      <w:pPr>
        <w:tabs>
          <w:tab w:val="num" w:pos="630"/>
        </w:tabs>
        <w:spacing w:line="360" w:lineRule="auto"/>
        <w:ind w:left="270"/>
        <w:rPr>
          <w:rFonts w:asciiTheme="minorHAnsi" w:hAnsiTheme="minorHAnsi" w:cs="Arial"/>
          <w:b/>
          <w:szCs w:val="24"/>
        </w:rPr>
      </w:pPr>
      <w:r w:rsidRPr="004769B5">
        <w:rPr>
          <w:rFonts w:asciiTheme="minorHAnsi" w:hAnsiTheme="minorHAnsi" w:cs="Arial"/>
          <w:b/>
          <w:szCs w:val="24"/>
        </w:rPr>
        <w:t>RIGHT TO REFUSE MEDICAL OR SURGICAL TREATMENT</w:t>
      </w:r>
    </w:p>
    <w:p w:rsidR="009801BB" w:rsidRDefault="009801BB" w:rsidP="00DA1439">
      <w:pPr>
        <w:pStyle w:val="ListParagraph"/>
        <w:numPr>
          <w:ilvl w:val="0"/>
          <w:numId w:val="29"/>
        </w:numPr>
        <w:autoSpaceDE w:val="0"/>
        <w:autoSpaceDN w:val="0"/>
        <w:adjustRightInd w:val="0"/>
        <w:rPr>
          <w:rFonts w:asciiTheme="minorHAnsi" w:hAnsiTheme="minorHAnsi"/>
          <w:iCs/>
          <w:szCs w:val="24"/>
        </w:rPr>
      </w:pPr>
      <w:r w:rsidRPr="004769B5">
        <w:rPr>
          <w:rFonts w:asciiTheme="minorHAnsi" w:hAnsiTheme="minorHAnsi"/>
          <w:iCs/>
          <w:szCs w:val="24"/>
        </w:rPr>
        <w:t>If a resident (directly or through an advance directive) decline</w:t>
      </w:r>
      <w:r w:rsidR="00D60968" w:rsidRPr="004769B5">
        <w:rPr>
          <w:rFonts w:asciiTheme="minorHAnsi" w:hAnsiTheme="minorHAnsi"/>
          <w:iCs/>
          <w:szCs w:val="24"/>
        </w:rPr>
        <w:t>s</w:t>
      </w:r>
      <w:r w:rsidRPr="004769B5">
        <w:rPr>
          <w:rFonts w:asciiTheme="minorHAnsi" w:hAnsiTheme="minorHAnsi"/>
          <w:iCs/>
          <w:szCs w:val="24"/>
        </w:rPr>
        <w:t xml:space="preserve"> treatment (e.g., refuses artificial nutrition or IV hydration, despite having lost considerable weight), the resident may not be treated against his/her wishes. </w:t>
      </w:r>
    </w:p>
    <w:p w:rsidR="00591D0F" w:rsidRPr="004769B5" w:rsidRDefault="00591D0F" w:rsidP="00591D0F">
      <w:pPr>
        <w:pStyle w:val="ListParagraph"/>
        <w:autoSpaceDE w:val="0"/>
        <w:autoSpaceDN w:val="0"/>
        <w:adjustRightInd w:val="0"/>
        <w:rPr>
          <w:rFonts w:asciiTheme="minorHAnsi" w:hAnsiTheme="minorHAnsi"/>
          <w:iCs/>
          <w:szCs w:val="24"/>
        </w:rPr>
      </w:pPr>
    </w:p>
    <w:p w:rsidR="009801BB" w:rsidRPr="00591D0F" w:rsidRDefault="009801BB" w:rsidP="00DA1439">
      <w:pPr>
        <w:pStyle w:val="ListParagraph"/>
        <w:numPr>
          <w:ilvl w:val="0"/>
          <w:numId w:val="29"/>
        </w:numPr>
        <w:autoSpaceDE w:val="0"/>
        <w:autoSpaceDN w:val="0"/>
        <w:adjustRightInd w:val="0"/>
        <w:rPr>
          <w:rFonts w:asciiTheme="minorHAnsi" w:hAnsiTheme="minorHAnsi"/>
          <w:iCs/>
          <w:szCs w:val="24"/>
        </w:rPr>
      </w:pPr>
      <w:r w:rsidRPr="004769B5">
        <w:rPr>
          <w:rFonts w:asciiTheme="minorHAnsi" w:hAnsiTheme="minorHAnsi"/>
          <w:iCs/>
          <w:szCs w:val="24"/>
        </w:rPr>
        <w:t xml:space="preserve">Facility staff will </w:t>
      </w:r>
      <w:r w:rsidRPr="004769B5">
        <w:rPr>
          <w:rFonts w:asciiTheme="minorHAnsi" w:hAnsiTheme="minorHAnsi"/>
          <w:szCs w:val="24"/>
        </w:rPr>
        <w:t>continue to offer alternative treatments and therapies.</w:t>
      </w:r>
    </w:p>
    <w:p w:rsidR="00591D0F" w:rsidRPr="004769B5" w:rsidRDefault="00591D0F" w:rsidP="00591D0F">
      <w:pPr>
        <w:pStyle w:val="ListParagraph"/>
        <w:autoSpaceDE w:val="0"/>
        <w:autoSpaceDN w:val="0"/>
        <w:adjustRightInd w:val="0"/>
        <w:rPr>
          <w:rFonts w:asciiTheme="minorHAnsi" w:hAnsiTheme="minorHAnsi"/>
          <w:iCs/>
          <w:szCs w:val="24"/>
        </w:rPr>
      </w:pPr>
    </w:p>
    <w:p w:rsidR="009801BB" w:rsidRPr="00591D0F" w:rsidRDefault="009801BB" w:rsidP="00DA1439">
      <w:pPr>
        <w:pStyle w:val="ListParagraph"/>
        <w:numPr>
          <w:ilvl w:val="0"/>
          <w:numId w:val="29"/>
        </w:numPr>
        <w:autoSpaceDE w:val="0"/>
        <w:autoSpaceDN w:val="0"/>
        <w:adjustRightInd w:val="0"/>
        <w:rPr>
          <w:rFonts w:asciiTheme="minorHAnsi" w:hAnsiTheme="minorHAnsi"/>
          <w:iCs/>
          <w:szCs w:val="24"/>
        </w:rPr>
      </w:pPr>
      <w:r w:rsidRPr="004769B5">
        <w:rPr>
          <w:rFonts w:asciiTheme="minorHAnsi" w:hAnsiTheme="minorHAnsi"/>
          <w:szCs w:val="24"/>
        </w:rPr>
        <w:t xml:space="preserve"> Staff will provide education and review risks/benefits on a regular basis with periodic documentation.</w:t>
      </w:r>
    </w:p>
    <w:p w:rsidR="00591D0F" w:rsidRPr="004769B5" w:rsidRDefault="00591D0F" w:rsidP="00591D0F">
      <w:pPr>
        <w:pStyle w:val="ListParagraph"/>
        <w:autoSpaceDE w:val="0"/>
        <w:autoSpaceDN w:val="0"/>
        <w:adjustRightInd w:val="0"/>
        <w:rPr>
          <w:rFonts w:asciiTheme="minorHAnsi" w:hAnsiTheme="minorHAnsi"/>
          <w:iCs/>
          <w:szCs w:val="24"/>
        </w:rPr>
      </w:pPr>
    </w:p>
    <w:p w:rsidR="00D60968" w:rsidRDefault="009801BB" w:rsidP="00DA1439">
      <w:pPr>
        <w:pStyle w:val="ListParagraph"/>
        <w:numPr>
          <w:ilvl w:val="0"/>
          <w:numId w:val="29"/>
        </w:numPr>
        <w:autoSpaceDE w:val="0"/>
        <w:autoSpaceDN w:val="0"/>
        <w:adjustRightInd w:val="0"/>
        <w:rPr>
          <w:rFonts w:asciiTheme="minorHAnsi" w:hAnsiTheme="minorHAnsi"/>
          <w:iCs/>
          <w:szCs w:val="24"/>
        </w:rPr>
      </w:pPr>
      <w:r w:rsidRPr="004769B5">
        <w:rPr>
          <w:rFonts w:asciiTheme="minorHAnsi" w:hAnsiTheme="minorHAnsi"/>
          <w:iCs/>
          <w:szCs w:val="24"/>
        </w:rPr>
        <w:t xml:space="preserve">If a resident is unable to make a health care decision, a decision by the resident’s legal representative to forego treatment may, subject to State requirements, be equally binding on the facility. </w:t>
      </w:r>
    </w:p>
    <w:p w:rsidR="00591D0F" w:rsidRPr="004769B5" w:rsidRDefault="00591D0F" w:rsidP="00591D0F">
      <w:pPr>
        <w:pStyle w:val="ListParagraph"/>
        <w:autoSpaceDE w:val="0"/>
        <w:autoSpaceDN w:val="0"/>
        <w:adjustRightInd w:val="0"/>
        <w:rPr>
          <w:rFonts w:asciiTheme="minorHAnsi" w:hAnsiTheme="minorHAnsi"/>
          <w:iCs/>
          <w:szCs w:val="24"/>
        </w:rPr>
      </w:pPr>
    </w:p>
    <w:p w:rsidR="009801BB" w:rsidRDefault="00D60968" w:rsidP="00DA1439">
      <w:pPr>
        <w:pStyle w:val="ListParagraph"/>
        <w:numPr>
          <w:ilvl w:val="0"/>
          <w:numId w:val="29"/>
        </w:numPr>
        <w:autoSpaceDE w:val="0"/>
        <w:autoSpaceDN w:val="0"/>
        <w:adjustRightInd w:val="0"/>
        <w:rPr>
          <w:rFonts w:asciiTheme="minorHAnsi" w:hAnsiTheme="minorHAnsi"/>
          <w:iCs/>
          <w:szCs w:val="24"/>
        </w:rPr>
      </w:pPr>
      <w:r w:rsidRPr="004769B5">
        <w:rPr>
          <w:rFonts w:asciiTheme="minorHAnsi" w:hAnsiTheme="minorHAnsi"/>
          <w:iCs/>
          <w:szCs w:val="24"/>
        </w:rPr>
        <w:t>The facility will</w:t>
      </w:r>
      <w:r w:rsidR="009801BB" w:rsidRPr="004769B5">
        <w:rPr>
          <w:rFonts w:asciiTheme="minorHAnsi" w:hAnsiTheme="minorHAnsi"/>
          <w:iCs/>
          <w:szCs w:val="24"/>
        </w:rPr>
        <w:t xml:space="preserve"> not transfer or discharge a resident for refusing treatment unless the criteria for transfer or discharge are otherwise met. </w:t>
      </w:r>
    </w:p>
    <w:p w:rsidR="00591D0F" w:rsidRPr="004769B5" w:rsidRDefault="00591D0F" w:rsidP="00591D0F">
      <w:pPr>
        <w:pStyle w:val="ListParagraph"/>
        <w:autoSpaceDE w:val="0"/>
        <w:autoSpaceDN w:val="0"/>
        <w:adjustRightInd w:val="0"/>
        <w:rPr>
          <w:rFonts w:asciiTheme="minorHAnsi" w:hAnsiTheme="minorHAnsi"/>
          <w:iCs/>
          <w:szCs w:val="24"/>
        </w:rPr>
      </w:pPr>
    </w:p>
    <w:p w:rsidR="009801BB" w:rsidRDefault="009801BB" w:rsidP="00DA1439">
      <w:pPr>
        <w:pStyle w:val="ListParagraph"/>
        <w:numPr>
          <w:ilvl w:val="0"/>
          <w:numId w:val="29"/>
        </w:numPr>
        <w:rPr>
          <w:rFonts w:asciiTheme="minorHAnsi" w:hAnsiTheme="minorHAnsi"/>
          <w:iCs/>
          <w:szCs w:val="24"/>
        </w:rPr>
      </w:pPr>
      <w:r w:rsidRPr="004769B5">
        <w:rPr>
          <w:rFonts w:asciiTheme="minorHAnsi" w:hAnsiTheme="minorHAnsi"/>
          <w:iCs/>
          <w:szCs w:val="24"/>
        </w:rPr>
        <w:t>If a resident’s refusal of treatment results in a significant change in condition, the facility will reassess the resident and modify the care plan as appropriate.</w:t>
      </w:r>
    </w:p>
    <w:p w:rsidR="00591D0F" w:rsidRPr="004769B5" w:rsidRDefault="00591D0F" w:rsidP="00591D0F">
      <w:pPr>
        <w:pStyle w:val="ListParagraph"/>
        <w:rPr>
          <w:rFonts w:asciiTheme="minorHAnsi" w:hAnsiTheme="minorHAnsi"/>
          <w:iCs/>
          <w:szCs w:val="24"/>
        </w:rPr>
      </w:pPr>
    </w:p>
    <w:p w:rsidR="009801BB" w:rsidRDefault="009801BB" w:rsidP="00DA1439">
      <w:pPr>
        <w:pStyle w:val="ListParagraph"/>
        <w:numPr>
          <w:ilvl w:val="0"/>
          <w:numId w:val="29"/>
        </w:numPr>
        <w:rPr>
          <w:rFonts w:asciiTheme="minorHAnsi" w:hAnsiTheme="minorHAnsi"/>
          <w:iCs/>
          <w:szCs w:val="24"/>
        </w:rPr>
      </w:pPr>
      <w:r w:rsidRPr="004769B5">
        <w:rPr>
          <w:rFonts w:asciiTheme="minorHAnsi" w:hAnsiTheme="minorHAnsi"/>
          <w:iCs/>
          <w:szCs w:val="24"/>
        </w:rPr>
        <w:lastRenderedPageBreak/>
        <w:t xml:space="preserve">The facility will assess the resident for decision-making capacity and invoke the health care agent or legal representative if the resident is determined not to have decision-making capacity. Once the decision-making capacity is assessed, the facility </w:t>
      </w:r>
      <w:r w:rsidR="00D60968" w:rsidRPr="004769B5">
        <w:rPr>
          <w:rFonts w:asciiTheme="minorHAnsi" w:hAnsiTheme="minorHAnsi"/>
          <w:iCs/>
          <w:szCs w:val="24"/>
        </w:rPr>
        <w:t>will</w:t>
      </w:r>
      <w:r w:rsidRPr="004769B5">
        <w:rPr>
          <w:rFonts w:asciiTheme="minorHAnsi" w:hAnsiTheme="minorHAnsi"/>
          <w:iCs/>
          <w:szCs w:val="24"/>
        </w:rPr>
        <w:t xml:space="preserve"> determine and document what the residen</w:t>
      </w:r>
      <w:r w:rsidR="00D60968" w:rsidRPr="004769B5">
        <w:rPr>
          <w:rFonts w:asciiTheme="minorHAnsi" w:hAnsiTheme="minorHAnsi"/>
          <w:iCs/>
          <w:szCs w:val="24"/>
        </w:rPr>
        <w:t xml:space="preserve">t is refusing, </w:t>
      </w:r>
      <w:r w:rsidRPr="004769B5">
        <w:rPr>
          <w:rFonts w:asciiTheme="minorHAnsi" w:hAnsiTheme="minorHAnsi"/>
          <w:iCs/>
          <w:szCs w:val="24"/>
        </w:rPr>
        <w:t>assess the reason</w:t>
      </w:r>
      <w:r w:rsidR="00D60968" w:rsidRPr="004769B5">
        <w:rPr>
          <w:rFonts w:asciiTheme="minorHAnsi" w:hAnsiTheme="minorHAnsi"/>
          <w:iCs/>
          <w:szCs w:val="24"/>
        </w:rPr>
        <w:t>(</w:t>
      </w:r>
      <w:r w:rsidRPr="004769B5">
        <w:rPr>
          <w:rFonts w:asciiTheme="minorHAnsi" w:hAnsiTheme="minorHAnsi"/>
          <w:iCs/>
          <w:szCs w:val="24"/>
        </w:rPr>
        <w:t>s</w:t>
      </w:r>
      <w:r w:rsidR="00D60968" w:rsidRPr="004769B5">
        <w:rPr>
          <w:rFonts w:asciiTheme="minorHAnsi" w:hAnsiTheme="minorHAnsi"/>
          <w:iCs/>
          <w:szCs w:val="24"/>
        </w:rPr>
        <w:t xml:space="preserve">) for the resident’s refusal, </w:t>
      </w:r>
      <w:r w:rsidRPr="004769B5">
        <w:rPr>
          <w:rFonts w:asciiTheme="minorHAnsi" w:hAnsiTheme="minorHAnsi"/>
          <w:iCs/>
          <w:szCs w:val="24"/>
        </w:rPr>
        <w:t>advise the resident abo</w:t>
      </w:r>
      <w:r w:rsidR="00D60968" w:rsidRPr="004769B5">
        <w:rPr>
          <w:rFonts w:asciiTheme="minorHAnsi" w:hAnsiTheme="minorHAnsi"/>
          <w:iCs/>
          <w:szCs w:val="24"/>
        </w:rPr>
        <w:t xml:space="preserve">ut the consequences of refusal, </w:t>
      </w:r>
      <w:r w:rsidRPr="004769B5">
        <w:rPr>
          <w:rFonts w:asciiTheme="minorHAnsi" w:hAnsiTheme="minorHAnsi"/>
          <w:iCs/>
          <w:szCs w:val="24"/>
        </w:rPr>
        <w:t>offer pertinen</w:t>
      </w:r>
      <w:r w:rsidR="00D60968" w:rsidRPr="004769B5">
        <w:rPr>
          <w:rFonts w:asciiTheme="minorHAnsi" w:hAnsiTheme="minorHAnsi"/>
          <w:iCs/>
          <w:szCs w:val="24"/>
        </w:rPr>
        <w:t>t alternative treatments, and</w:t>
      </w:r>
      <w:r w:rsidRPr="004769B5">
        <w:rPr>
          <w:rFonts w:asciiTheme="minorHAnsi" w:hAnsiTheme="minorHAnsi"/>
          <w:iCs/>
          <w:szCs w:val="24"/>
        </w:rPr>
        <w:t xml:space="preserve"> continue to provide all other appropriate services. </w:t>
      </w:r>
    </w:p>
    <w:p w:rsidR="00591D0F" w:rsidRPr="004769B5" w:rsidRDefault="00591D0F" w:rsidP="00591D0F">
      <w:pPr>
        <w:pStyle w:val="ListParagraph"/>
        <w:rPr>
          <w:rFonts w:asciiTheme="minorHAnsi" w:hAnsiTheme="minorHAnsi"/>
          <w:iCs/>
          <w:szCs w:val="24"/>
        </w:rPr>
      </w:pPr>
    </w:p>
    <w:p w:rsidR="00F9046D" w:rsidRPr="007560D4" w:rsidRDefault="009801BB" w:rsidP="00DA1439">
      <w:pPr>
        <w:pStyle w:val="ListParagraph"/>
        <w:numPr>
          <w:ilvl w:val="0"/>
          <w:numId w:val="29"/>
        </w:numPr>
        <w:rPr>
          <w:rFonts w:asciiTheme="minorHAnsi" w:hAnsiTheme="minorHAnsi"/>
          <w:bCs/>
          <w:iCs/>
          <w:szCs w:val="24"/>
        </w:rPr>
      </w:pPr>
      <w:r w:rsidRPr="004769B5">
        <w:rPr>
          <w:rFonts w:asciiTheme="minorHAnsi" w:hAnsiTheme="minorHAnsi"/>
          <w:iCs/>
          <w:szCs w:val="24"/>
        </w:rPr>
        <w:t xml:space="preserve">The </w:t>
      </w:r>
      <w:r w:rsidR="00B12896">
        <w:rPr>
          <w:rFonts w:asciiTheme="minorHAnsi" w:hAnsiTheme="minorHAnsi"/>
          <w:iCs/>
          <w:szCs w:val="24"/>
        </w:rPr>
        <w:t>resident</w:t>
      </w:r>
      <w:r w:rsidRPr="004769B5">
        <w:rPr>
          <w:rFonts w:asciiTheme="minorHAnsi" w:hAnsiTheme="minorHAnsi"/>
          <w:iCs/>
          <w:szCs w:val="24"/>
        </w:rPr>
        <w:t xml:space="preserve"> representative and physician/NP/Hospice will be notified of resident’s refusal of treatment. Risks and benefits will be reviewed and documented in the resident record.</w:t>
      </w:r>
    </w:p>
    <w:p w:rsidR="007560D4" w:rsidRPr="007560D4" w:rsidRDefault="007560D4" w:rsidP="007560D4">
      <w:pPr>
        <w:pStyle w:val="ListParagraph"/>
        <w:rPr>
          <w:rFonts w:asciiTheme="minorHAnsi" w:hAnsiTheme="minorHAnsi"/>
          <w:bCs/>
          <w:iCs/>
          <w:szCs w:val="24"/>
        </w:rPr>
      </w:pPr>
    </w:p>
    <w:p w:rsidR="007560D4" w:rsidRDefault="007560D4" w:rsidP="007560D4">
      <w:pPr>
        <w:rPr>
          <w:rFonts w:asciiTheme="minorHAnsi" w:hAnsiTheme="minorHAnsi"/>
          <w:bCs/>
          <w:iCs/>
          <w:szCs w:val="24"/>
        </w:rPr>
      </w:pPr>
    </w:p>
    <w:p w:rsidR="007560D4" w:rsidRDefault="007560D4" w:rsidP="007560D4">
      <w:pPr>
        <w:rPr>
          <w:rFonts w:asciiTheme="minorHAnsi" w:hAnsiTheme="minorHAnsi"/>
          <w:bCs/>
          <w:iCs/>
          <w:szCs w:val="24"/>
        </w:rPr>
      </w:pPr>
    </w:p>
    <w:p w:rsidR="007560D4" w:rsidRDefault="007560D4" w:rsidP="007560D4">
      <w:pPr>
        <w:rPr>
          <w:rFonts w:asciiTheme="minorHAnsi" w:hAnsiTheme="minorHAnsi"/>
          <w:bCs/>
          <w:iCs/>
          <w:szCs w:val="24"/>
        </w:rPr>
      </w:pPr>
    </w:p>
    <w:p w:rsidR="007560D4" w:rsidRDefault="007560D4" w:rsidP="007560D4">
      <w:pPr>
        <w:rPr>
          <w:rFonts w:asciiTheme="minorHAnsi" w:hAnsiTheme="minorHAnsi"/>
          <w:bCs/>
          <w:iCs/>
          <w:szCs w:val="24"/>
        </w:rPr>
      </w:pPr>
    </w:p>
    <w:p w:rsidR="007560D4" w:rsidRDefault="007560D4" w:rsidP="007560D4">
      <w:pPr>
        <w:rPr>
          <w:rFonts w:asciiTheme="minorHAnsi" w:hAnsiTheme="minorHAnsi"/>
          <w:bCs/>
          <w:iCs/>
          <w:szCs w:val="24"/>
        </w:rPr>
      </w:pPr>
    </w:p>
    <w:p w:rsidR="007560D4" w:rsidRPr="007560D4" w:rsidRDefault="007560D4" w:rsidP="007560D4">
      <w:pPr>
        <w:rPr>
          <w:rFonts w:asciiTheme="minorHAnsi" w:hAnsiTheme="minorHAnsi"/>
          <w:bCs/>
          <w:iCs/>
          <w:szCs w:val="24"/>
        </w:rPr>
      </w:pPr>
    </w:p>
    <w:p w:rsidR="00591D0F" w:rsidRDefault="00591D0F" w:rsidP="009801BB">
      <w:pPr>
        <w:spacing w:line="360" w:lineRule="auto"/>
        <w:rPr>
          <w:rFonts w:asciiTheme="minorHAnsi" w:hAnsiTheme="minorHAnsi"/>
          <w:b/>
          <w:bCs/>
          <w:iCs/>
          <w:szCs w:val="24"/>
        </w:rPr>
      </w:pPr>
    </w:p>
    <w:p w:rsidR="009801BB" w:rsidRPr="004769B5" w:rsidRDefault="00D60968" w:rsidP="009801BB">
      <w:pPr>
        <w:spacing w:line="360" w:lineRule="auto"/>
        <w:rPr>
          <w:rFonts w:asciiTheme="minorHAnsi" w:hAnsiTheme="minorHAnsi"/>
          <w:b/>
          <w:bCs/>
          <w:iCs/>
          <w:szCs w:val="24"/>
        </w:rPr>
      </w:pPr>
      <w:r w:rsidRPr="004769B5">
        <w:rPr>
          <w:rFonts w:asciiTheme="minorHAnsi" w:hAnsiTheme="minorHAnsi"/>
          <w:b/>
          <w:bCs/>
          <w:iCs/>
          <w:szCs w:val="24"/>
        </w:rPr>
        <w:t>CARDIOPULMONARY RESUSCITATION (CPR)</w:t>
      </w:r>
    </w:p>
    <w:p w:rsidR="00D60968" w:rsidRDefault="00D60968" w:rsidP="00D60968">
      <w:pPr>
        <w:textAlignment w:val="baseline"/>
        <w:rPr>
          <w:rFonts w:asciiTheme="minorHAnsi" w:hAnsiTheme="minorHAnsi" w:cs="Segoe UI"/>
          <w:b/>
          <w:bCs/>
          <w:szCs w:val="24"/>
        </w:rPr>
      </w:pPr>
      <w:r w:rsidRPr="004769B5">
        <w:rPr>
          <w:rFonts w:asciiTheme="minorHAnsi" w:hAnsiTheme="minorHAnsi" w:cs="Segoe UI"/>
          <w:b/>
          <w:bCs/>
          <w:szCs w:val="24"/>
        </w:rPr>
        <w:t>POLICY        </w:t>
      </w:r>
    </w:p>
    <w:p w:rsidR="003B4B6B" w:rsidRPr="004769B5" w:rsidRDefault="003B4B6B" w:rsidP="00D60968">
      <w:pPr>
        <w:textAlignment w:val="baseline"/>
        <w:rPr>
          <w:rFonts w:asciiTheme="minorHAnsi" w:hAnsiTheme="minorHAnsi" w:cs="Segoe UI"/>
          <w:b/>
          <w:bCs/>
          <w:szCs w:val="24"/>
        </w:rPr>
      </w:pPr>
    </w:p>
    <w:p w:rsidR="00D60968" w:rsidRPr="004769B5" w:rsidRDefault="00D60968" w:rsidP="00D60968">
      <w:pPr>
        <w:textAlignment w:val="baseline"/>
        <w:rPr>
          <w:rFonts w:asciiTheme="minorHAnsi" w:hAnsiTheme="minorHAnsi" w:cs="Segoe UI"/>
          <w:bCs/>
          <w:szCs w:val="24"/>
        </w:rPr>
      </w:pPr>
      <w:r w:rsidRPr="004769B5">
        <w:rPr>
          <w:rFonts w:asciiTheme="minorHAnsi" w:hAnsiTheme="minorHAnsi" w:cs="Segoe UI"/>
          <w:bCs/>
          <w:szCs w:val="24"/>
        </w:rPr>
        <w:t xml:space="preserve">It is the policy of this facility will provide basic life support, including CPR – Cardiopulmonary Resuscitation, when a resident requires such emergency care, prior to the arrival of emergency medical services, subject to physician order and resident choice indicated in the resident’s advance directives. </w:t>
      </w:r>
    </w:p>
    <w:p w:rsidR="00D60968" w:rsidRPr="004769B5" w:rsidRDefault="00D60968" w:rsidP="00D60968">
      <w:pPr>
        <w:textAlignment w:val="baseline"/>
        <w:rPr>
          <w:rFonts w:asciiTheme="minorHAnsi" w:hAnsiTheme="minorHAnsi" w:cs="Segoe UI"/>
          <w:bCs/>
          <w:szCs w:val="24"/>
        </w:rPr>
      </w:pPr>
    </w:p>
    <w:p w:rsidR="00D60968" w:rsidRDefault="00D60968" w:rsidP="00DA1439">
      <w:pPr>
        <w:pStyle w:val="ListParagraph"/>
        <w:numPr>
          <w:ilvl w:val="0"/>
          <w:numId w:val="30"/>
        </w:numPr>
        <w:textAlignment w:val="baseline"/>
        <w:rPr>
          <w:rFonts w:asciiTheme="minorHAnsi" w:hAnsiTheme="minorHAnsi"/>
          <w:color w:val="000000"/>
          <w:szCs w:val="24"/>
        </w:rPr>
      </w:pPr>
      <w:r w:rsidRPr="00DA1439">
        <w:rPr>
          <w:rFonts w:asciiTheme="minorHAnsi" w:hAnsiTheme="minorHAnsi"/>
          <w:color w:val="000000"/>
          <w:szCs w:val="24"/>
        </w:rPr>
        <w:t>Nurses and other care staff are educated to initiate CPR, as recommended by the American Heart Association (AHA) unless:</w:t>
      </w:r>
    </w:p>
    <w:p w:rsidR="00591D0F" w:rsidRPr="00DA1439" w:rsidRDefault="00591D0F" w:rsidP="00591D0F">
      <w:pPr>
        <w:pStyle w:val="ListParagraph"/>
        <w:ind w:left="1440"/>
        <w:textAlignment w:val="baseline"/>
        <w:rPr>
          <w:rFonts w:asciiTheme="minorHAnsi" w:hAnsiTheme="minorHAnsi"/>
          <w:color w:val="000000"/>
          <w:szCs w:val="24"/>
        </w:rPr>
      </w:pPr>
    </w:p>
    <w:p w:rsidR="00591D0F" w:rsidRDefault="00D60968" w:rsidP="00591D0F">
      <w:pPr>
        <w:pStyle w:val="ListParagraph"/>
        <w:numPr>
          <w:ilvl w:val="0"/>
          <w:numId w:val="34"/>
        </w:numPr>
        <w:textAlignment w:val="baseline"/>
        <w:rPr>
          <w:rFonts w:asciiTheme="minorHAnsi" w:hAnsiTheme="minorHAnsi"/>
          <w:color w:val="000000"/>
          <w:szCs w:val="24"/>
        </w:rPr>
      </w:pPr>
      <w:r w:rsidRPr="004769B5">
        <w:rPr>
          <w:rFonts w:asciiTheme="minorHAnsi" w:hAnsiTheme="minorHAnsi"/>
          <w:color w:val="000000"/>
          <w:szCs w:val="24"/>
        </w:rPr>
        <w:t>A valid Do Not Resuscitate order is in place</w:t>
      </w:r>
      <w:r w:rsidR="00591D0F">
        <w:rPr>
          <w:rFonts w:asciiTheme="minorHAnsi" w:hAnsiTheme="minorHAnsi"/>
          <w:color w:val="000000"/>
          <w:szCs w:val="24"/>
        </w:rPr>
        <w:t>.</w:t>
      </w:r>
    </w:p>
    <w:p w:rsidR="00591D0F" w:rsidRDefault="00D60968" w:rsidP="00591D0F">
      <w:pPr>
        <w:pStyle w:val="ListParagraph"/>
        <w:numPr>
          <w:ilvl w:val="0"/>
          <w:numId w:val="34"/>
        </w:numPr>
        <w:textAlignment w:val="baseline"/>
        <w:rPr>
          <w:rFonts w:asciiTheme="minorHAnsi" w:hAnsiTheme="minorHAnsi"/>
          <w:color w:val="000000"/>
          <w:szCs w:val="24"/>
        </w:rPr>
      </w:pPr>
      <w:r w:rsidRPr="004769B5">
        <w:rPr>
          <w:rFonts w:asciiTheme="minorHAnsi" w:hAnsiTheme="minorHAnsi"/>
          <w:color w:val="000000"/>
          <w:szCs w:val="24"/>
        </w:rPr>
        <w:t>Resident presents with obvious signs of clinical death (e.g. rigor mortis, dependent lividity, decapitation, transection or decomposition) are present</w:t>
      </w:r>
      <w:r w:rsidR="00591D0F">
        <w:rPr>
          <w:rFonts w:asciiTheme="minorHAnsi" w:hAnsiTheme="minorHAnsi"/>
          <w:color w:val="000000"/>
          <w:szCs w:val="24"/>
        </w:rPr>
        <w:t>.</w:t>
      </w:r>
    </w:p>
    <w:p w:rsidR="00591D0F" w:rsidRDefault="00D60968" w:rsidP="00591D0F">
      <w:pPr>
        <w:pStyle w:val="ListParagraph"/>
        <w:numPr>
          <w:ilvl w:val="0"/>
          <w:numId w:val="34"/>
        </w:numPr>
        <w:textAlignment w:val="baseline"/>
        <w:rPr>
          <w:rFonts w:asciiTheme="minorHAnsi" w:hAnsiTheme="minorHAnsi"/>
          <w:color w:val="000000"/>
          <w:szCs w:val="24"/>
        </w:rPr>
      </w:pPr>
      <w:r w:rsidRPr="004769B5">
        <w:rPr>
          <w:rFonts w:asciiTheme="minorHAnsi" w:hAnsiTheme="minorHAnsi"/>
          <w:color w:val="000000"/>
          <w:szCs w:val="24"/>
        </w:rPr>
        <w:t>Initiating CPR could cause injury or peril to the rescuer</w:t>
      </w:r>
      <w:r w:rsidR="00591D0F">
        <w:rPr>
          <w:rFonts w:asciiTheme="minorHAnsi" w:hAnsiTheme="minorHAnsi"/>
          <w:color w:val="000000"/>
          <w:szCs w:val="24"/>
        </w:rPr>
        <w:t>.</w:t>
      </w:r>
    </w:p>
    <w:p w:rsidR="00D60968" w:rsidRPr="00591D0F" w:rsidRDefault="00D60968" w:rsidP="00591D0F">
      <w:pPr>
        <w:pStyle w:val="ListParagraph"/>
        <w:numPr>
          <w:ilvl w:val="0"/>
          <w:numId w:val="34"/>
        </w:numPr>
        <w:textAlignment w:val="baseline"/>
        <w:rPr>
          <w:rFonts w:asciiTheme="minorHAnsi" w:hAnsiTheme="minorHAnsi"/>
          <w:color w:val="000000"/>
          <w:szCs w:val="24"/>
        </w:rPr>
      </w:pPr>
      <w:r w:rsidRPr="00DA1439">
        <w:rPr>
          <w:rFonts w:asciiTheme="minorHAnsi" w:hAnsiTheme="minorHAnsi"/>
          <w:color w:val="000000"/>
          <w:szCs w:val="24"/>
        </w:rPr>
        <w:t>CPR certified staff will be available at all times.  Staff will maintain current CPR certification for healthcare providers including hands-on skills practice and in-person assessment and demonstration of skills.</w:t>
      </w:r>
    </w:p>
    <w:p w:rsidR="003B4B6B" w:rsidRPr="004769B5" w:rsidRDefault="003B4B6B"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7560D4" w:rsidRDefault="007560D4" w:rsidP="009801BB">
      <w:pPr>
        <w:spacing w:line="360" w:lineRule="auto"/>
        <w:rPr>
          <w:rFonts w:asciiTheme="minorHAnsi" w:hAnsiTheme="minorHAnsi"/>
          <w:b/>
          <w:bCs/>
          <w:iCs/>
          <w:szCs w:val="24"/>
        </w:rPr>
      </w:pPr>
    </w:p>
    <w:p w:rsidR="00D60968" w:rsidRPr="004769B5" w:rsidRDefault="00D60968" w:rsidP="009801BB">
      <w:pPr>
        <w:spacing w:line="360" w:lineRule="auto"/>
        <w:rPr>
          <w:rFonts w:asciiTheme="minorHAnsi" w:hAnsiTheme="minorHAnsi"/>
          <w:bCs/>
          <w:iCs/>
          <w:szCs w:val="24"/>
        </w:rPr>
      </w:pPr>
      <w:r w:rsidRPr="004769B5">
        <w:rPr>
          <w:rFonts w:asciiTheme="minorHAnsi" w:hAnsiTheme="minorHAnsi"/>
          <w:b/>
          <w:bCs/>
          <w:iCs/>
          <w:szCs w:val="24"/>
        </w:rPr>
        <w:t>RIGHT TO DECLINE TO PARTICIPATE IN EXPERIMENTAL RESEARCH</w:t>
      </w:r>
    </w:p>
    <w:p w:rsidR="009801BB" w:rsidRPr="004769B5" w:rsidRDefault="00F9046D" w:rsidP="009801BB">
      <w:pPr>
        <w:tabs>
          <w:tab w:val="num" w:pos="630"/>
        </w:tabs>
        <w:spacing w:line="360" w:lineRule="auto"/>
        <w:rPr>
          <w:rFonts w:asciiTheme="minorHAnsi" w:eastAsiaTheme="minorHAnsi" w:hAnsiTheme="minorHAnsi"/>
          <w:szCs w:val="24"/>
        </w:rPr>
      </w:pPr>
      <w:r w:rsidRPr="004769B5">
        <w:rPr>
          <w:rFonts w:asciiTheme="minorHAnsi" w:eastAsiaTheme="minorHAnsi" w:hAnsiTheme="minorHAnsi"/>
          <w:b/>
          <w:szCs w:val="24"/>
        </w:rPr>
        <w:t>POLICY</w:t>
      </w:r>
    </w:p>
    <w:p w:rsidR="00F9046D" w:rsidRDefault="00F9046D" w:rsidP="004769B5">
      <w:pPr>
        <w:tabs>
          <w:tab w:val="num" w:pos="630"/>
        </w:tabs>
        <w:rPr>
          <w:rFonts w:asciiTheme="minorHAnsi" w:eastAsiaTheme="minorHAnsi" w:hAnsiTheme="minorHAnsi"/>
          <w:szCs w:val="24"/>
        </w:rPr>
      </w:pPr>
      <w:r w:rsidRPr="004769B5">
        <w:rPr>
          <w:rFonts w:asciiTheme="minorHAnsi" w:eastAsiaTheme="minorHAnsi" w:hAnsiTheme="minorHAnsi"/>
          <w:szCs w:val="24"/>
        </w:rPr>
        <w:t>It is the policy that if the facility participates in any experimental research that involves facility residents, that the Facility Institutional Review Board will review and approve any research program including a committee for oversight for adherence to 45 CFR Part 46, Protection of Human Subjects of Research.</w:t>
      </w:r>
    </w:p>
    <w:p w:rsidR="00591D0F" w:rsidRPr="004769B5" w:rsidRDefault="00591D0F" w:rsidP="004769B5">
      <w:pPr>
        <w:tabs>
          <w:tab w:val="num" w:pos="630"/>
        </w:tabs>
        <w:rPr>
          <w:rFonts w:asciiTheme="minorHAnsi" w:eastAsiaTheme="minorHAnsi" w:hAnsiTheme="minorHAnsi"/>
          <w:szCs w:val="24"/>
        </w:rPr>
      </w:pPr>
    </w:p>
    <w:p w:rsidR="009801BB" w:rsidRDefault="00281160" w:rsidP="00DA1439">
      <w:pPr>
        <w:pStyle w:val="ListParagraph"/>
        <w:numPr>
          <w:ilvl w:val="0"/>
          <w:numId w:val="31"/>
        </w:numPr>
        <w:rPr>
          <w:rFonts w:asciiTheme="minorHAnsi" w:eastAsiaTheme="minorHAnsi" w:hAnsiTheme="minorHAnsi"/>
          <w:szCs w:val="24"/>
        </w:rPr>
      </w:pPr>
      <w:r w:rsidRPr="004769B5">
        <w:rPr>
          <w:rFonts w:asciiTheme="minorHAnsi" w:eastAsiaTheme="minorHAnsi" w:hAnsiTheme="minorHAnsi"/>
          <w:szCs w:val="24"/>
        </w:rPr>
        <w:t xml:space="preserve"> </w:t>
      </w:r>
      <w:r w:rsidR="009801BB" w:rsidRPr="004769B5">
        <w:rPr>
          <w:rFonts w:asciiTheme="minorHAnsi" w:eastAsiaTheme="minorHAnsi" w:hAnsiTheme="minorHAnsi"/>
          <w:szCs w:val="24"/>
        </w:rPr>
        <w:t>The resident has the right to refuse participation in experimental research.</w:t>
      </w:r>
    </w:p>
    <w:p w:rsidR="00591D0F" w:rsidRPr="004769B5" w:rsidRDefault="00591D0F" w:rsidP="00591D0F">
      <w:pPr>
        <w:pStyle w:val="ListParagraph"/>
        <w:ind w:left="990"/>
        <w:rPr>
          <w:rFonts w:asciiTheme="minorHAnsi" w:eastAsiaTheme="minorHAnsi" w:hAnsiTheme="minorHAnsi"/>
          <w:szCs w:val="24"/>
        </w:rPr>
      </w:pPr>
    </w:p>
    <w:p w:rsidR="00F9046D" w:rsidRDefault="009801BB" w:rsidP="00DA1439">
      <w:pPr>
        <w:pStyle w:val="ListParagraph"/>
        <w:numPr>
          <w:ilvl w:val="0"/>
          <w:numId w:val="31"/>
        </w:numPr>
        <w:rPr>
          <w:rFonts w:asciiTheme="minorHAnsi" w:eastAsiaTheme="minorHAnsi" w:hAnsiTheme="minorHAnsi"/>
          <w:szCs w:val="24"/>
        </w:rPr>
      </w:pPr>
      <w:r w:rsidRPr="004769B5">
        <w:rPr>
          <w:rFonts w:asciiTheme="minorHAnsi" w:eastAsiaTheme="minorHAnsi" w:hAnsiTheme="minorHAnsi"/>
          <w:szCs w:val="24"/>
        </w:rPr>
        <w:t>The resident who is being considered for experimental research must be fully informed (</w:t>
      </w:r>
      <w:r w:rsidR="00F9046D" w:rsidRPr="004769B5">
        <w:rPr>
          <w:rFonts w:asciiTheme="minorHAnsi" w:eastAsiaTheme="minorHAnsi" w:hAnsiTheme="minorHAnsi"/>
          <w:szCs w:val="24"/>
        </w:rPr>
        <w:t xml:space="preserve">e.g. medication, treatment) </w:t>
      </w:r>
    </w:p>
    <w:p w:rsidR="00591D0F" w:rsidRPr="004769B5" w:rsidRDefault="00591D0F" w:rsidP="00591D0F">
      <w:pPr>
        <w:pStyle w:val="ListParagraph"/>
        <w:ind w:left="990"/>
        <w:rPr>
          <w:rFonts w:asciiTheme="minorHAnsi" w:eastAsiaTheme="minorHAnsi" w:hAnsiTheme="minorHAnsi"/>
          <w:szCs w:val="24"/>
        </w:rPr>
      </w:pPr>
    </w:p>
    <w:p w:rsidR="009801BB" w:rsidRDefault="00F9046D" w:rsidP="00DA1439">
      <w:pPr>
        <w:pStyle w:val="ListParagraph"/>
        <w:numPr>
          <w:ilvl w:val="0"/>
          <w:numId w:val="31"/>
        </w:numPr>
        <w:rPr>
          <w:rFonts w:asciiTheme="minorHAnsi" w:eastAsiaTheme="minorHAnsi" w:hAnsiTheme="minorHAnsi"/>
          <w:szCs w:val="24"/>
        </w:rPr>
      </w:pPr>
      <w:r w:rsidRPr="004769B5">
        <w:rPr>
          <w:rFonts w:asciiTheme="minorHAnsi" w:eastAsiaTheme="minorHAnsi" w:hAnsiTheme="minorHAnsi"/>
          <w:szCs w:val="24"/>
        </w:rPr>
        <w:t xml:space="preserve">The resident must </w:t>
      </w:r>
      <w:r w:rsidR="009801BB" w:rsidRPr="004769B5">
        <w:rPr>
          <w:rFonts w:asciiTheme="minorHAnsi" w:eastAsiaTheme="minorHAnsi" w:hAnsiTheme="minorHAnsi"/>
          <w:szCs w:val="24"/>
        </w:rPr>
        <w:t>give informed consent to participate.</w:t>
      </w:r>
    </w:p>
    <w:p w:rsidR="00591D0F" w:rsidRPr="004769B5" w:rsidRDefault="00591D0F" w:rsidP="00591D0F">
      <w:pPr>
        <w:pStyle w:val="ListParagraph"/>
        <w:ind w:left="990"/>
        <w:rPr>
          <w:rFonts w:asciiTheme="minorHAnsi" w:eastAsiaTheme="minorHAnsi" w:hAnsiTheme="minorHAnsi"/>
          <w:szCs w:val="24"/>
        </w:rPr>
      </w:pPr>
    </w:p>
    <w:p w:rsidR="009801BB" w:rsidRDefault="009801BB" w:rsidP="00DA1439">
      <w:pPr>
        <w:pStyle w:val="ListParagraph"/>
        <w:numPr>
          <w:ilvl w:val="0"/>
          <w:numId w:val="31"/>
        </w:numPr>
        <w:rPr>
          <w:rFonts w:asciiTheme="minorHAnsi" w:eastAsiaTheme="minorHAnsi" w:hAnsiTheme="minorHAnsi"/>
          <w:szCs w:val="24"/>
        </w:rPr>
      </w:pPr>
      <w:r w:rsidRPr="004769B5">
        <w:rPr>
          <w:rFonts w:asciiTheme="minorHAnsi" w:eastAsiaTheme="minorHAnsi" w:hAnsiTheme="minorHAnsi"/>
          <w:szCs w:val="24"/>
        </w:rPr>
        <w:t>If the resident is incapable of giving informed consent but the legal representative gives proxy consent, it is the responsibility of the facility to properly obtain the proxy consent and measures taken to protect the individual from harm or mistreatment.</w:t>
      </w:r>
    </w:p>
    <w:p w:rsidR="00591D0F" w:rsidRPr="004769B5" w:rsidRDefault="00591D0F" w:rsidP="00591D0F">
      <w:pPr>
        <w:pStyle w:val="ListParagraph"/>
        <w:ind w:left="990"/>
        <w:rPr>
          <w:rFonts w:asciiTheme="minorHAnsi" w:eastAsiaTheme="minorHAnsi" w:hAnsiTheme="minorHAnsi"/>
          <w:szCs w:val="24"/>
        </w:rPr>
      </w:pPr>
    </w:p>
    <w:p w:rsidR="009801BB" w:rsidRPr="004769B5" w:rsidRDefault="009801BB" w:rsidP="00DA1439">
      <w:pPr>
        <w:pStyle w:val="ListParagraph"/>
        <w:numPr>
          <w:ilvl w:val="0"/>
          <w:numId w:val="31"/>
        </w:numPr>
        <w:rPr>
          <w:rFonts w:asciiTheme="minorHAnsi" w:eastAsiaTheme="minorHAnsi" w:hAnsiTheme="minorHAnsi"/>
          <w:szCs w:val="24"/>
        </w:rPr>
      </w:pPr>
      <w:r w:rsidRPr="004769B5">
        <w:rPr>
          <w:rFonts w:asciiTheme="minorHAnsi" w:eastAsiaTheme="minorHAnsi" w:hAnsiTheme="minorHAnsi"/>
          <w:szCs w:val="24"/>
        </w:rPr>
        <w:lastRenderedPageBreak/>
        <w:t>The legal representative also m</w:t>
      </w:r>
      <w:r w:rsidR="00D60968" w:rsidRPr="004769B5">
        <w:rPr>
          <w:rFonts w:asciiTheme="minorHAnsi" w:eastAsiaTheme="minorHAnsi" w:hAnsiTheme="minorHAnsi"/>
          <w:szCs w:val="24"/>
        </w:rPr>
        <w:t>ay refuse participation before and during</w:t>
      </w:r>
      <w:r w:rsidRPr="004769B5">
        <w:rPr>
          <w:rFonts w:asciiTheme="minorHAnsi" w:eastAsiaTheme="minorHAnsi" w:hAnsiTheme="minorHAnsi"/>
          <w:szCs w:val="24"/>
        </w:rPr>
        <w:t xml:space="preserve"> the research activity.</w:t>
      </w:r>
    </w:p>
    <w:p w:rsidR="007560D4" w:rsidRDefault="007560D4" w:rsidP="009801BB">
      <w:pPr>
        <w:spacing w:line="360" w:lineRule="auto"/>
        <w:rPr>
          <w:rFonts w:asciiTheme="minorHAnsi" w:hAnsiTheme="minorHAnsi" w:cs="Arial"/>
          <w:b/>
          <w:caps/>
          <w:szCs w:val="24"/>
        </w:rPr>
      </w:pPr>
    </w:p>
    <w:p w:rsidR="007560D4" w:rsidRDefault="007560D4" w:rsidP="009801BB">
      <w:pPr>
        <w:spacing w:line="360" w:lineRule="auto"/>
        <w:rPr>
          <w:rFonts w:asciiTheme="minorHAnsi" w:hAnsiTheme="minorHAnsi" w:cs="Arial"/>
          <w:b/>
          <w:caps/>
          <w:szCs w:val="24"/>
        </w:rPr>
      </w:pPr>
    </w:p>
    <w:p w:rsidR="009801BB" w:rsidRPr="00591D0F" w:rsidRDefault="009801BB" w:rsidP="009801BB">
      <w:pPr>
        <w:spacing w:line="360" w:lineRule="auto"/>
        <w:rPr>
          <w:rFonts w:asciiTheme="minorHAnsi" w:hAnsiTheme="minorHAnsi" w:cs="Arial"/>
          <w:b/>
          <w:caps/>
          <w:szCs w:val="24"/>
        </w:rPr>
      </w:pPr>
      <w:r w:rsidRPr="004769B5">
        <w:rPr>
          <w:rFonts w:asciiTheme="minorHAnsi" w:hAnsiTheme="minorHAnsi" w:cs="Arial"/>
          <w:b/>
          <w:caps/>
          <w:szCs w:val="24"/>
        </w:rPr>
        <w:t>References</w:t>
      </w:r>
    </w:p>
    <w:p w:rsidR="009801BB" w:rsidRPr="004769B5" w:rsidRDefault="009801BB" w:rsidP="005A2763">
      <w:pPr>
        <w:rPr>
          <w:rFonts w:asciiTheme="minorHAnsi" w:hAnsiTheme="minorHAnsi"/>
          <w:szCs w:val="24"/>
        </w:rPr>
      </w:pPr>
      <w:r w:rsidRPr="004769B5">
        <w:rPr>
          <w:rFonts w:asciiTheme="minorHAnsi" w:hAnsiTheme="minorHAnsi"/>
          <w:szCs w:val="24"/>
        </w:rPr>
        <w:t>Medicare and Medicaid Programs; Reform of Requirements for Long-Term Care Facilities 10/04/16:</w:t>
      </w:r>
    </w:p>
    <w:p w:rsidR="009801BB" w:rsidRPr="00591D0F" w:rsidRDefault="0030079D" w:rsidP="00591D0F">
      <w:pPr>
        <w:ind w:left="360"/>
        <w:rPr>
          <w:rFonts w:asciiTheme="minorHAnsi" w:hAnsiTheme="minorHAnsi"/>
          <w:szCs w:val="24"/>
        </w:rPr>
      </w:pPr>
      <w:hyperlink r:id="rId9" w:history="1">
        <w:r w:rsidR="009801BB" w:rsidRPr="00591D0F">
          <w:rPr>
            <w:rStyle w:val="Hyperlink"/>
            <w:rFonts w:asciiTheme="minorHAnsi" w:hAnsiTheme="minorHAnsi"/>
            <w:szCs w:val="24"/>
          </w:rPr>
          <w:t>https://www.federalregister.gov/documents/2016/10/04/2016-23503/medicare-and-medicaid-programs-reform-of-requirements-for-long-term-care-facilities</w:t>
        </w:r>
      </w:hyperlink>
      <w:r w:rsidR="009801BB" w:rsidRPr="00591D0F">
        <w:rPr>
          <w:rFonts w:asciiTheme="minorHAnsi" w:hAnsiTheme="minorHAnsi"/>
          <w:szCs w:val="24"/>
        </w:rPr>
        <w:t xml:space="preserve"> </w:t>
      </w:r>
    </w:p>
    <w:p w:rsidR="009801BB" w:rsidRPr="004769B5" w:rsidRDefault="009801BB" w:rsidP="005A2763">
      <w:pPr>
        <w:rPr>
          <w:rFonts w:asciiTheme="minorHAnsi" w:hAnsiTheme="minorHAnsi"/>
          <w:szCs w:val="24"/>
        </w:rPr>
      </w:pPr>
    </w:p>
    <w:p w:rsidR="009801BB" w:rsidRPr="004769B5" w:rsidRDefault="009801BB" w:rsidP="005A2763">
      <w:pPr>
        <w:rPr>
          <w:rFonts w:asciiTheme="minorHAnsi" w:hAnsiTheme="minorHAnsi"/>
          <w:szCs w:val="24"/>
        </w:rPr>
      </w:pPr>
      <w:r w:rsidRPr="004769B5">
        <w:rPr>
          <w:rFonts w:asciiTheme="minorHAnsi" w:hAnsiTheme="minorHAnsi"/>
          <w:szCs w:val="24"/>
        </w:rPr>
        <w:t xml:space="preserve">CMS Memo Ref:  S&amp;C 17-07-NH:  Advance Copy – Revisions to State Operations Manual (SOM), Appendix PP- Revised Regulations and Tags, 11/09/16:  </w:t>
      </w:r>
    </w:p>
    <w:p w:rsidR="009801BB" w:rsidRDefault="0030079D" w:rsidP="00591D0F">
      <w:pPr>
        <w:ind w:left="360"/>
        <w:rPr>
          <w:rFonts w:asciiTheme="minorHAnsi" w:hAnsiTheme="minorHAnsi"/>
          <w:szCs w:val="24"/>
        </w:rPr>
      </w:pPr>
      <w:hyperlink r:id="rId10" w:history="1">
        <w:r w:rsidR="009801BB" w:rsidRPr="00591D0F">
          <w:rPr>
            <w:rStyle w:val="Hyperlink"/>
            <w:rFonts w:asciiTheme="minorHAnsi" w:hAnsiTheme="minorHAnsi"/>
            <w:szCs w:val="24"/>
          </w:rPr>
          <w:t>https://www.cms.gov/Medicare/Provider-Enrollment-and-Certification/SurveyCertificationGenInfo/Downloads/Survey-and-Cert-Letter-17-07.pdf</w:t>
        </w:r>
      </w:hyperlink>
      <w:r w:rsidR="009801BB" w:rsidRPr="00591D0F">
        <w:rPr>
          <w:rFonts w:asciiTheme="minorHAnsi" w:hAnsiTheme="minorHAnsi"/>
          <w:szCs w:val="24"/>
        </w:rPr>
        <w:t xml:space="preserve"> </w:t>
      </w:r>
    </w:p>
    <w:p w:rsidR="00B953FE" w:rsidRDefault="00B953FE" w:rsidP="00591D0F">
      <w:pPr>
        <w:ind w:left="360"/>
        <w:rPr>
          <w:rFonts w:asciiTheme="minorHAnsi" w:hAnsiTheme="minorHAnsi"/>
          <w:szCs w:val="24"/>
        </w:rPr>
      </w:pPr>
    </w:p>
    <w:p w:rsidR="009801BB" w:rsidRDefault="00B953FE" w:rsidP="005A2763">
      <w:pPr>
        <w:rPr>
          <w:rFonts w:asciiTheme="minorHAnsi" w:hAnsiTheme="minorHAnsi"/>
          <w:sz w:val="20"/>
        </w:rPr>
      </w:pPr>
      <w:r>
        <w:rPr>
          <w:rFonts w:asciiTheme="minorHAnsi" w:hAnsiTheme="minorHAnsi"/>
          <w:color w:val="FF0000"/>
          <w:szCs w:val="24"/>
        </w:rPr>
        <w:t xml:space="preserve">Kansas Department on Aging. (2012). Witnessing advance directive. </w:t>
      </w:r>
      <w:r w:rsidR="002776B0">
        <w:rPr>
          <w:rFonts w:asciiTheme="minorHAnsi" w:hAnsiTheme="minorHAnsi"/>
          <w:color w:val="FF0000"/>
          <w:szCs w:val="24"/>
        </w:rPr>
        <w:t>Volume 9(2). Page 7.</w:t>
      </w:r>
    </w:p>
    <w:p w:rsidR="004546D1" w:rsidRPr="004546D1" w:rsidRDefault="004546D1" w:rsidP="005A2763">
      <w:pPr>
        <w:pStyle w:val="paragraph"/>
        <w:spacing w:before="0" w:beforeAutospacing="0" w:after="0" w:afterAutospacing="0"/>
        <w:jc w:val="center"/>
        <w:textAlignment w:val="baseline"/>
        <w:rPr>
          <w:rFonts w:asciiTheme="minorHAnsi" w:hAnsiTheme="minorHAnsi"/>
          <w:b/>
        </w:rPr>
      </w:pPr>
    </w:p>
    <w:sectPr w:rsidR="004546D1" w:rsidRPr="004546D1" w:rsidSect="00DE7AF9">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3B" w:rsidRDefault="00A0343B" w:rsidP="00FE158D">
      <w:r>
        <w:separator/>
      </w:r>
    </w:p>
  </w:endnote>
  <w:endnote w:type="continuationSeparator" w:id="0">
    <w:p w:rsidR="00A0343B" w:rsidRDefault="00A0343B"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9D" w:rsidRDefault="00300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9D" w:rsidRDefault="0030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3B" w:rsidRDefault="00A0343B" w:rsidP="00FE158D">
      <w:r>
        <w:separator/>
      </w:r>
    </w:p>
  </w:footnote>
  <w:footnote w:type="continuationSeparator" w:id="0">
    <w:p w:rsidR="00A0343B" w:rsidRDefault="00A0343B"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9D" w:rsidRDefault="00300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D2" w:rsidRDefault="006B2ED2" w:rsidP="0030079D">
    <w:pPr>
      <w:pStyle w:val="Header"/>
      <w:tabs>
        <w:tab w:val="clear" w:pos="4680"/>
        <w:tab w:val="clear" w:pos="9360"/>
        <w:tab w:val="left" w:pos="576"/>
        <w:tab w:val="left" w:pos="924"/>
      </w:tabs>
      <w:jc w:val="center"/>
    </w:pPr>
    <w:r>
      <w:rPr>
        <w:noProof/>
      </w:rPr>
      <w:drawing>
        <wp:anchor distT="0" distB="0" distL="114300" distR="114300" simplePos="0" relativeHeight="251658752"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30079D">
      <w:rPr>
        <w:noProof/>
      </w:rPr>
      <w:drawing>
        <wp:inline distT="0" distB="0" distL="0" distR="0" wp14:anchorId="5DBB48A2">
          <wp:extent cx="1383665" cy="6096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665" cy="6096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2" w15:restartNumberingAfterBreak="0">
    <w:nsid w:val="00072826"/>
    <w:multiLevelType w:val="hybridMultilevel"/>
    <w:tmpl w:val="6D30389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203327"/>
    <w:multiLevelType w:val="hybridMultilevel"/>
    <w:tmpl w:val="1C8EF60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22927B8B"/>
    <w:multiLevelType w:val="hybridMultilevel"/>
    <w:tmpl w:val="B5D4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46C35"/>
    <w:multiLevelType w:val="hybridMultilevel"/>
    <w:tmpl w:val="1CCAEA2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26071C45"/>
    <w:multiLevelType w:val="hybridMultilevel"/>
    <w:tmpl w:val="5BE26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893149"/>
    <w:multiLevelType w:val="hybridMultilevel"/>
    <w:tmpl w:val="EBD00BA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C054E3"/>
    <w:multiLevelType w:val="hybridMultilevel"/>
    <w:tmpl w:val="A802FE42"/>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F7D00AF"/>
    <w:multiLevelType w:val="hybridMultilevel"/>
    <w:tmpl w:val="F0DE1AB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6D5842"/>
    <w:multiLevelType w:val="hybridMultilevel"/>
    <w:tmpl w:val="D57CA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DF70DF"/>
    <w:multiLevelType w:val="hybridMultilevel"/>
    <w:tmpl w:val="728268B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C0E63"/>
    <w:multiLevelType w:val="hybridMultilevel"/>
    <w:tmpl w:val="2F009B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6D71C98"/>
    <w:multiLevelType w:val="hybridMultilevel"/>
    <w:tmpl w:val="52E6A3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4326F1"/>
    <w:multiLevelType w:val="hybridMultilevel"/>
    <w:tmpl w:val="053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81906"/>
    <w:multiLevelType w:val="hybridMultilevel"/>
    <w:tmpl w:val="3D3E04C2"/>
    <w:lvl w:ilvl="0" w:tplc="7FEAB10E">
      <w:start w:val="1"/>
      <w:numFmt w:val="decimal"/>
      <w:lvlText w:val="%1."/>
      <w:lvlJc w:val="left"/>
      <w:pPr>
        <w:ind w:left="720" w:hanging="360"/>
      </w:pPr>
      <w:rPr>
        <w:rFonts w:hint="default"/>
      </w:rPr>
    </w:lvl>
    <w:lvl w:ilvl="1" w:tplc="F5D23C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757F1"/>
    <w:multiLevelType w:val="hybridMultilevel"/>
    <w:tmpl w:val="159C55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09A07F5"/>
    <w:multiLevelType w:val="hybridMultilevel"/>
    <w:tmpl w:val="D9FADA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9E62B0"/>
    <w:multiLevelType w:val="hybridMultilevel"/>
    <w:tmpl w:val="8E6E862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1" w15:restartNumberingAfterBreak="0">
    <w:nsid w:val="498073A8"/>
    <w:multiLevelType w:val="hybridMultilevel"/>
    <w:tmpl w:val="8BF83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57247"/>
    <w:multiLevelType w:val="hybridMultilevel"/>
    <w:tmpl w:val="D1F2B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1379FE"/>
    <w:multiLevelType w:val="hybridMultilevel"/>
    <w:tmpl w:val="BF0A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7652B"/>
    <w:multiLevelType w:val="hybridMultilevel"/>
    <w:tmpl w:val="D07CD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5FBE"/>
    <w:multiLevelType w:val="hybridMultilevel"/>
    <w:tmpl w:val="7E783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6177173"/>
    <w:multiLevelType w:val="hybridMultilevel"/>
    <w:tmpl w:val="337ED0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284F42"/>
    <w:multiLevelType w:val="hybridMultilevel"/>
    <w:tmpl w:val="E8C44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A33AA"/>
    <w:multiLevelType w:val="hybridMultilevel"/>
    <w:tmpl w:val="9078D69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E3537"/>
    <w:multiLevelType w:val="hybridMultilevel"/>
    <w:tmpl w:val="9F16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2017E"/>
    <w:multiLevelType w:val="hybridMultilevel"/>
    <w:tmpl w:val="EBE65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668C0"/>
    <w:multiLevelType w:val="hybridMultilevel"/>
    <w:tmpl w:val="B8FE8B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27"/>
  </w:num>
  <w:num w:numId="3">
    <w:abstractNumId w:val="28"/>
  </w:num>
  <w:num w:numId="4">
    <w:abstractNumId w:val="12"/>
  </w:num>
  <w:num w:numId="5">
    <w:abstractNumId w:val="5"/>
  </w:num>
  <w:num w:numId="6">
    <w:abstractNumId w:val="24"/>
  </w:num>
  <w:num w:numId="7">
    <w:abstractNumId w:val="32"/>
  </w:num>
  <w:num w:numId="8">
    <w:abstractNumId w:val="26"/>
  </w:num>
  <w:num w:numId="9">
    <w:abstractNumId w:val="33"/>
  </w:num>
  <w:num w:numId="10">
    <w:abstractNumId w:val="16"/>
  </w:num>
  <w:num w:numId="11">
    <w:abstractNumId w:val="23"/>
  </w:num>
  <w:num w:numId="12">
    <w:abstractNumId w:val="21"/>
  </w:num>
  <w:num w:numId="13">
    <w:abstractNumId w:val="22"/>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
  </w:num>
  <w:num w:numId="24">
    <w:abstractNumId w:val="7"/>
  </w:num>
  <w:num w:numId="25">
    <w:abstractNumId w:val="31"/>
  </w:num>
  <w:num w:numId="26">
    <w:abstractNumId w:val="13"/>
  </w:num>
  <w:num w:numId="27">
    <w:abstractNumId w:val="17"/>
  </w:num>
  <w:num w:numId="28">
    <w:abstractNumId w:val="9"/>
  </w:num>
  <w:num w:numId="29">
    <w:abstractNumId w:val="19"/>
  </w:num>
  <w:num w:numId="30">
    <w:abstractNumId w:val="29"/>
  </w:num>
  <w:num w:numId="31">
    <w:abstractNumId w:val="8"/>
  </w:num>
  <w:num w:numId="32">
    <w:abstractNumId w:val="30"/>
  </w:num>
  <w:num w:numId="33">
    <w:abstractNumId w:val="2"/>
  </w:num>
  <w:num w:numId="3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A2MLAxMzQyMDYxMTCyUdpeDU4uLM/DyQAsNaAFjZkrgsAAAA"/>
  </w:docVars>
  <w:rsids>
    <w:rsidRoot w:val="006338B1"/>
    <w:rsid w:val="0003379F"/>
    <w:rsid w:val="00052761"/>
    <w:rsid w:val="0005491D"/>
    <w:rsid w:val="00066D50"/>
    <w:rsid w:val="0007319F"/>
    <w:rsid w:val="0009522B"/>
    <w:rsid w:val="000C3FE4"/>
    <w:rsid w:val="000D4F24"/>
    <w:rsid w:val="000D5B62"/>
    <w:rsid w:val="000E228A"/>
    <w:rsid w:val="000E46B8"/>
    <w:rsid w:val="000F08A2"/>
    <w:rsid w:val="000F7E90"/>
    <w:rsid w:val="00110BD0"/>
    <w:rsid w:val="0012309D"/>
    <w:rsid w:val="001234E5"/>
    <w:rsid w:val="00170AD2"/>
    <w:rsid w:val="001754BD"/>
    <w:rsid w:val="00185739"/>
    <w:rsid w:val="001A633D"/>
    <w:rsid w:val="001A7D8E"/>
    <w:rsid w:val="001C12A2"/>
    <w:rsid w:val="00220F87"/>
    <w:rsid w:val="002376A2"/>
    <w:rsid w:val="002776B0"/>
    <w:rsid w:val="00281160"/>
    <w:rsid w:val="002A3B2B"/>
    <w:rsid w:val="002C5F29"/>
    <w:rsid w:val="002E7F02"/>
    <w:rsid w:val="002F2B8A"/>
    <w:rsid w:val="0030079D"/>
    <w:rsid w:val="003011C7"/>
    <w:rsid w:val="00301AA8"/>
    <w:rsid w:val="00345C9E"/>
    <w:rsid w:val="00354F50"/>
    <w:rsid w:val="00372DF7"/>
    <w:rsid w:val="0037305D"/>
    <w:rsid w:val="00373CF0"/>
    <w:rsid w:val="00383BE7"/>
    <w:rsid w:val="003A3E8D"/>
    <w:rsid w:val="003B0939"/>
    <w:rsid w:val="003B4B6B"/>
    <w:rsid w:val="003F0C77"/>
    <w:rsid w:val="004546D1"/>
    <w:rsid w:val="004769B5"/>
    <w:rsid w:val="00484844"/>
    <w:rsid w:val="004A5AF4"/>
    <w:rsid w:val="00534CAA"/>
    <w:rsid w:val="0053611B"/>
    <w:rsid w:val="0053732B"/>
    <w:rsid w:val="0054274A"/>
    <w:rsid w:val="005438CB"/>
    <w:rsid w:val="00587F46"/>
    <w:rsid w:val="00591D0F"/>
    <w:rsid w:val="00593E4B"/>
    <w:rsid w:val="005A052F"/>
    <w:rsid w:val="005A2763"/>
    <w:rsid w:val="005A6135"/>
    <w:rsid w:val="005F036A"/>
    <w:rsid w:val="006034EC"/>
    <w:rsid w:val="00603AC0"/>
    <w:rsid w:val="00605605"/>
    <w:rsid w:val="00610027"/>
    <w:rsid w:val="00611CB6"/>
    <w:rsid w:val="006338B1"/>
    <w:rsid w:val="0066679B"/>
    <w:rsid w:val="006A1A9E"/>
    <w:rsid w:val="006A3CC2"/>
    <w:rsid w:val="006B2ED2"/>
    <w:rsid w:val="006C781E"/>
    <w:rsid w:val="007251EF"/>
    <w:rsid w:val="007560D4"/>
    <w:rsid w:val="00770982"/>
    <w:rsid w:val="00783084"/>
    <w:rsid w:val="007A61F1"/>
    <w:rsid w:val="007B6E87"/>
    <w:rsid w:val="007D113C"/>
    <w:rsid w:val="007F26C3"/>
    <w:rsid w:val="00805910"/>
    <w:rsid w:val="008068A8"/>
    <w:rsid w:val="008259FB"/>
    <w:rsid w:val="008E7224"/>
    <w:rsid w:val="008F3038"/>
    <w:rsid w:val="009073EC"/>
    <w:rsid w:val="00921F84"/>
    <w:rsid w:val="009478FB"/>
    <w:rsid w:val="00951B77"/>
    <w:rsid w:val="009603FE"/>
    <w:rsid w:val="0097400C"/>
    <w:rsid w:val="009801BB"/>
    <w:rsid w:val="009B7479"/>
    <w:rsid w:val="009C0D8A"/>
    <w:rsid w:val="009C106D"/>
    <w:rsid w:val="009C583E"/>
    <w:rsid w:val="009D5449"/>
    <w:rsid w:val="009E7E27"/>
    <w:rsid w:val="009F0488"/>
    <w:rsid w:val="00A0343B"/>
    <w:rsid w:val="00A039B0"/>
    <w:rsid w:val="00A10CAC"/>
    <w:rsid w:val="00A25232"/>
    <w:rsid w:val="00A9460A"/>
    <w:rsid w:val="00AB677E"/>
    <w:rsid w:val="00AC0FC3"/>
    <w:rsid w:val="00AE086B"/>
    <w:rsid w:val="00AE6CAD"/>
    <w:rsid w:val="00AE7D7D"/>
    <w:rsid w:val="00B019EA"/>
    <w:rsid w:val="00B042B1"/>
    <w:rsid w:val="00B12896"/>
    <w:rsid w:val="00B12DFD"/>
    <w:rsid w:val="00B24FB4"/>
    <w:rsid w:val="00B62D92"/>
    <w:rsid w:val="00B656A9"/>
    <w:rsid w:val="00B819DF"/>
    <w:rsid w:val="00B953FE"/>
    <w:rsid w:val="00BA5845"/>
    <w:rsid w:val="00BB507F"/>
    <w:rsid w:val="00BE4375"/>
    <w:rsid w:val="00BF403E"/>
    <w:rsid w:val="00BF50C8"/>
    <w:rsid w:val="00C0102E"/>
    <w:rsid w:val="00C170A5"/>
    <w:rsid w:val="00C2446B"/>
    <w:rsid w:val="00C531C9"/>
    <w:rsid w:val="00C71D53"/>
    <w:rsid w:val="00CA5795"/>
    <w:rsid w:val="00D1322E"/>
    <w:rsid w:val="00D60968"/>
    <w:rsid w:val="00DA1439"/>
    <w:rsid w:val="00DB6D68"/>
    <w:rsid w:val="00DC40AB"/>
    <w:rsid w:val="00DE7AF9"/>
    <w:rsid w:val="00E15C95"/>
    <w:rsid w:val="00E94EC6"/>
    <w:rsid w:val="00ED101C"/>
    <w:rsid w:val="00ED6153"/>
    <w:rsid w:val="00EE1F3A"/>
    <w:rsid w:val="00EF0A00"/>
    <w:rsid w:val="00F06B92"/>
    <w:rsid w:val="00F12D09"/>
    <w:rsid w:val="00F84583"/>
    <w:rsid w:val="00F9046D"/>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2BF0022B-539A-4470-A0A1-511BBC7A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6470094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ms.gov/Medicare/Provider-Enrollment-and-Certification/SurveyCertificationGenInfo/Downloads/Survey-and-Cert-Letter-17-07.pdf" TargetMode="External"/><Relationship Id="rId4" Type="http://schemas.openxmlformats.org/officeDocument/2006/relationships/settings" Target="setting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946A-2756-4E38-B67D-A84AA475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2135</Words>
  <Characters>12172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Johnson County Government</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Dana Weaver</cp:lastModifiedBy>
  <cp:revision>2</cp:revision>
  <dcterms:created xsi:type="dcterms:W3CDTF">2017-02-15T21:57:00Z</dcterms:created>
  <dcterms:modified xsi:type="dcterms:W3CDTF">2017-02-15T21:57:00Z</dcterms:modified>
</cp:coreProperties>
</file>